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7528" w14:textId="5E3A49DD" w:rsidR="00E735A6" w:rsidRPr="00343A09" w:rsidRDefault="00343A09" w:rsidP="00343A09">
      <w:pPr>
        <w:jc w:val="center"/>
        <w:rPr>
          <w:b/>
          <w:bCs/>
          <w:sz w:val="28"/>
          <w:szCs w:val="28"/>
        </w:rPr>
      </w:pPr>
      <w:r w:rsidRPr="00343A09">
        <w:rPr>
          <w:b/>
          <w:bCs/>
          <w:sz w:val="28"/>
          <w:szCs w:val="28"/>
        </w:rPr>
        <w:t>Job Description</w:t>
      </w:r>
    </w:p>
    <w:p w14:paraId="2AFDF71D" w14:textId="77777777" w:rsidR="00343A09" w:rsidRDefault="00343A09" w:rsidP="00343A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39"/>
      </w:tblGrid>
      <w:tr w:rsidR="00343A09" w14:paraId="4A0CBA24" w14:textId="77777777" w:rsidTr="00343A09">
        <w:tc>
          <w:tcPr>
            <w:tcW w:w="2263" w:type="dxa"/>
            <w:shd w:val="clear" w:color="auto" w:fill="D9D9D9" w:themeFill="background1" w:themeFillShade="D9"/>
          </w:tcPr>
          <w:p w14:paraId="04CBACB3" w14:textId="094CAF32" w:rsidR="00343A09" w:rsidRPr="00343A09" w:rsidRDefault="00343A09" w:rsidP="00343A09">
            <w:pPr>
              <w:rPr>
                <w:b/>
                <w:bCs/>
              </w:rPr>
            </w:pPr>
            <w:r w:rsidRPr="00343A09">
              <w:rPr>
                <w:b/>
                <w:bCs/>
              </w:rPr>
              <w:t>Role:</w:t>
            </w:r>
          </w:p>
        </w:tc>
        <w:tc>
          <w:tcPr>
            <w:tcW w:w="8039" w:type="dxa"/>
          </w:tcPr>
          <w:p w14:paraId="14ACF3AC" w14:textId="2FA28C84" w:rsidR="00343A09" w:rsidRDefault="000460CD" w:rsidP="00343A09">
            <w:r>
              <w:t>Healthcare Assistant</w:t>
            </w:r>
          </w:p>
        </w:tc>
      </w:tr>
      <w:tr w:rsidR="00343A09" w14:paraId="25CEADF4" w14:textId="77777777" w:rsidTr="00343A09">
        <w:tc>
          <w:tcPr>
            <w:tcW w:w="2263" w:type="dxa"/>
            <w:shd w:val="clear" w:color="auto" w:fill="D9D9D9" w:themeFill="background1" w:themeFillShade="D9"/>
          </w:tcPr>
          <w:p w14:paraId="654DDACE" w14:textId="795AC9A8" w:rsidR="00343A09" w:rsidRPr="00343A09" w:rsidRDefault="00343A09" w:rsidP="00343A09">
            <w:pPr>
              <w:rPr>
                <w:b/>
                <w:bCs/>
              </w:rPr>
            </w:pPr>
            <w:r w:rsidRPr="00343A09">
              <w:rPr>
                <w:b/>
                <w:bCs/>
              </w:rPr>
              <w:t>Accountable to:</w:t>
            </w:r>
          </w:p>
        </w:tc>
        <w:tc>
          <w:tcPr>
            <w:tcW w:w="8039" w:type="dxa"/>
          </w:tcPr>
          <w:p w14:paraId="76D007F8" w14:textId="0B3F6BAE" w:rsidR="00343A09" w:rsidRDefault="000460CD" w:rsidP="00343A09">
            <w:r>
              <w:t>Head of Department and/or Senior Sister</w:t>
            </w:r>
          </w:p>
        </w:tc>
      </w:tr>
      <w:tr w:rsidR="00343A09" w14:paraId="398DDC1B" w14:textId="77777777" w:rsidTr="00343A09">
        <w:tc>
          <w:tcPr>
            <w:tcW w:w="2263" w:type="dxa"/>
            <w:shd w:val="clear" w:color="auto" w:fill="D9D9D9" w:themeFill="background1" w:themeFillShade="D9"/>
          </w:tcPr>
          <w:p w14:paraId="04F44309" w14:textId="3C6E35B1" w:rsidR="00343A09" w:rsidRPr="00343A09" w:rsidRDefault="00343A09" w:rsidP="00343A09">
            <w:pPr>
              <w:rPr>
                <w:b/>
                <w:bCs/>
              </w:rPr>
            </w:pPr>
            <w:r w:rsidRPr="00343A09">
              <w:rPr>
                <w:b/>
                <w:bCs/>
              </w:rPr>
              <w:t>Location:</w:t>
            </w:r>
          </w:p>
        </w:tc>
        <w:tc>
          <w:tcPr>
            <w:tcW w:w="8039" w:type="dxa"/>
          </w:tcPr>
          <w:p w14:paraId="29BC5822" w14:textId="75CBEC4D" w:rsidR="00343A09" w:rsidRDefault="000460CD" w:rsidP="00343A09">
            <w:r>
              <w:t>The Dean Neurological Centre</w:t>
            </w:r>
          </w:p>
        </w:tc>
      </w:tr>
      <w:tr w:rsidR="00343A09" w14:paraId="30AFA660" w14:textId="77777777" w:rsidTr="00343A09">
        <w:tc>
          <w:tcPr>
            <w:tcW w:w="2263" w:type="dxa"/>
            <w:shd w:val="clear" w:color="auto" w:fill="D9D9D9" w:themeFill="background1" w:themeFillShade="D9"/>
          </w:tcPr>
          <w:p w14:paraId="2357DD26" w14:textId="4F26A7EA" w:rsidR="00343A09" w:rsidRPr="00343A09" w:rsidRDefault="00343A09" w:rsidP="00343A09">
            <w:pPr>
              <w:rPr>
                <w:b/>
                <w:bCs/>
              </w:rPr>
            </w:pPr>
            <w:r>
              <w:rPr>
                <w:b/>
                <w:bCs/>
              </w:rPr>
              <w:t>Date reviewed:</w:t>
            </w:r>
          </w:p>
        </w:tc>
        <w:tc>
          <w:tcPr>
            <w:tcW w:w="8039" w:type="dxa"/>
          </w:tcPr>
          <w:p w14:paraId="7CCBC774" w14:textId="133DCC87" w:rsidR="00343A09" w:rsidRDefault="000460CD" w:rsidP="00343A09">
            <w:r>
              <w:t>June 2024</w:t>
            </w:r>
          </w:p>
        </w:tc>
      </w:tr>
    </w:tbl>
    <w:p w14:paraId="5E60F781" w14:textId="77777777" w:rsidR="00343A09" w:rsidRDefault="00343A09" w:rsidP="00343A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96"/>
        <w:gridCol w:w="3434"/>
        <w:gridCol w:w="3434"/>
      </w:tblGrid>
      <w:tr w:rsidR="00343A09" w14:paraId="5C814AF5" w14:textId="77777777" w:rsidTr="00343A09">
        <w:tc>
          <w:tcPr>
            <w:tcW w:w="10302" w:type="dxa"/>
            <w:gridSpan w:val="4"/>
            <w:shd w:val="clear" w:color="auto" w:fill="D9D9D9" w:themeFill="background1" w:themeFillShade="D9"/>
          </w:tcPr>
          <w:p w14:paraId="0A36344E" w14:textId="1F3E1DAD" w:rsidR="00343A09" w:rsidRPr="00343A09" w:rsidRDefault="00343A09" w:rsidP="00343A09">
            <w:pPr>
              <w:rPr>
                <w:b/>
                <w:bCs/>
              </w:rPr>
            </w:pPr>
            <w:r w:rsidRPr="00343A09">
              <w:rPr>
                <w:b/>
                <w:bCs/>
              </w:rPr>
              <w:t>Job Purpose</w:t>
            </w:r>
          </w:p>
        </w:tc>
      </w:tr>
      <w:tr w:rsidR="00343A09" w14:paraId="2517DE99" w14:textId="77777777" w:rsidTr="00343A09">
        <w:tc>
          <w:tcPr>
            <w:tcW w:w="10302" w:type="dxa"/>
            <w:gridSpan w:val="4"/>
          </w:tcPr>
          <w:p w14:paraId="75406E0F" w14:textId="7FFE3448" w:rsidR="000239E4" w:rsidRPr="00D077D1" w:rsidRDefault="000239E4" w:rsidP="000239E4">
            <w:pPr>
              <w:jc w:val="both"/>
              <w:rPr>
                <w:b/>
              </w:rPr>
            </w:pPr>
            <w:r w:rsidRPr="00D077D1">
              <w:t xml:space="preserve">To provide a proactive and flexible range </w:t>
            </w:r>
            <w:proofErr w:type="gramStart"/>
            <w:r w:rsidRPr="00D077D1">
              <w:t xml:space="preserve">of </w:t>
            </w:r>
            <w:r>
              <w:t xml:space="preserve"> healthcare</w:t>
            </w:r>
            <w:proofErr w:type="gramEnd"/>
            <w:r>
              <w:t xml:space="preserve"> </w:t>
            </w:r>
            <w:r w:rsidRPr="00D077D1">
              <w:t xml:space="preserve">support to the </w:t>
            </w:r>
            <w:r w:rsidRPr="000239E4">
              <w:t>clinical team and</w:t>
            </w:r>
            <w:r w:rsidRPr="00D077D1">
              <w:t xml:space="preserve"> Residents within The Dean Neurological Centre whilst driving best practice and ensuring compliance with company procedures, documented policy and employment legislation. </w:t>
            </w:r>
          </w:p>
          <w:p w14:paraId="43CB379A" w14:textId="77777777" w:rsidR="000239E4" w:rsidRPr="00D077D1" w:rsidRDefault="000239E4" w:rsidP="000239E4">
            <w:pPr>
              <w:jc w:val="both"/>
              <w:rPr>
                <w:b/>
              </w:rPr>
            </w:pPr>
          </w:p>
          <w:p w14:paraId="6620D60D" w14:textId="2063E1FF" w:rsidR="000239E4" w:rsidRDefault="000239E4" w:rsidP="000239E4">
            <w:pPr>
              <w:rPr>
                <w:color w:val="FF0000"/>
              </w:rPr>
            </w:pPr>
            <w:r w:rsidRPr="00D077D1">
              <w:t>To strive for efficiency, whilst continuously improving the delivery of</w:t>
            </w:r>
            <w:r>
              <w:t xml:space="preserve"> healthcare </w:t>
            </w:r>
            <w:r w:rsidRPr="00D077D1">
              <w:t xml:space="preserve">services in collaboration </w:t>
            </w:r>
            <w:r>
              <w:t xml:space="preserve">and teamwork </w:t>
            </w:r>
            <w:r w:rsidRPr="00D077D1">
              <w:t xml:space="preserve">with </w:t>
            </w:r>
            <w:r>
              <w:t xml:space="preserve">colleagues, </w:t>
            </w:r>
            <w:r w:rsidRPr="00D077D1">
              <w:t>qualified staff and managers.</w:t>
            </w:r>
          </w:p>
          <w:p w14:paraId="672582CD" w14:textId="14C09907" w:rsidR="00EB1AA9" w:rsidRDefault="00EB1AA9" w:rsidP="007319F3"/>
        </w:tc>
      </w:tr>
      <w:tr w:rsidR="00343A09" w14:paraId="2227F503" w14:textId="77777777" w:rsidTr="00343A09">
        <w:tc>
          <w:tcPr>
            <w:tcW w:w="10302" w:type="dxa"/>
            <w:gridSpan w:val="4"/>
            <w:shd w:val="clear" w:color="auto" w:fill="D9D9D9" w:themeFill="background1" w:themeFillShade="D9"/>
          </w:tcPr>
          <w:p w14:paraId="1FC34B2E" w14:textId="52ABB2B8" w:rsidR="00343A09" w:rsidRPr="00343A09" w:rsidRDefault="005A42E9" w:rsidP="00343A09">
            <w:pPr>
              <w:rPr>
                <w:b/>
                <w:bCs/>
              </w:rPr>
            </w:pPr>
            <w:r>
              <w:rPr>
                <w:b/>
                <w:bCs/>
              </w:rPr>
              <w:t>Responsibilities</w:t>
            </w:r>
          </w:p>
        </w:tc>
      </w:tr>
      <w:tr w:rsidR="00343A09" w14:paraId="7F43920B" w14:textId="77777777" w:rsidTr="00343A09">
        <w:tc>
          <w:tcPr>
            <w:tcW w:w="10302" w:type="dxa"/>
            <w:gridSpan w:val="4"/>
          </w:tcPr>
          <w:p w14:paraId="3FBEE335" w14:textId="11173032" w:rsidR="000239E4" w:rsidRDefault="000239E4" w:rsidP="000239E4">
            <w:r w:rsidRPr="007319F3">
              <w:t xml:space="preserve">Your day-to-day will include </w:t>
            </w:r>
            <w:r>
              <w:t>unit</w:t>
            </w:r>
            <w:r w:rsidRPr="007319F3">
              <w:t xml:space="preserve"> </w:t>
            </w:r>
            <w:r>
              <w:t>handovers</w:t>
            </w:r>
            <w:r w:rsidRPr="007319F3">
              <w:t xml:space="preserve">, analysing behaviours and adapting care accordingly with colleagues, updating </w:t>
            </w:r>
            <w:r w:rsidR="00BA1254">
              <w:t>resident</w:t>
            </w:r>
            <w:r w:rsidRPr="007319F3">
              <w:t xml:space="preserve"> records, and providing overall care and support, which </w:t>
            </w:r>
            <w:r>
              <w:t>will</w:t>
            </w:r>
            <w:r w:rsidRPr="007319F3">
              <w:t xml:space="preserve"> include</w:t>
            </w:r>
            <w:r>
              <w:t xml:space="preserve"> providing personal care to residents from all ages, backgrounds and genders. You will be flexible and work a variety of shifts including weekends and bank holidays.</w:t>
            </w:r>
          </w:p>
          <w:p w14:paraId="0A81C073" w14:textId="77777777" w:rsidR="000239E4" w:rsidRDefault="000239E4" w:rsidP="000239E4"/>
          <w:p w14:paraId="1C2260C7" w14:textId="728F9CDD" w:rsidR="007319F3" w:rsidRPr="000239E4" w:rsidRDefault="007319F3" w:rsidP="00445B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0239E4">
              <w:rPr>
                <w:sz w:val="24"/>
                <w:szCs w:val="24"/>
              </w:rPr>
              <w:t>Assisting</w:t>
            </w:r>
            <w:proofErr w:type="gramEnd"/>
            <w:r w:rsidRPr="000239E4">
              <w:rPr>
                <w:sz w:val="24"/>
                <w:szCs w:val="24"/>
              </w:rPr>
              <w:t xml:space="preserve"> with daily living activities, e</w:t>
            </w:r>
            <w:r w:rsidR="000460CD" w:rsidRPr="000239E4">
              <w:rPr>
                <w:sz w:val="24"/>
                <w:szCs w:val="24"/>
              </w:rPr>
              <w:t>.</w:t>
            </w:r>
            <w:r w:rsidRPr="000239E4">
              <w:rPr>
                <w:sz w:val="24"/>
                <w:szCs w:val="24"/>
              </w:rPr>
              <w:t>g</w:t>
            </w:r>
            <w:r w:rsidR="00445B61" w:rsidRPr="000239E4">
              <w:rPr>
                <w:sz w:val="24"/>
                <w:szCs w:val="24"/>
              </w:rPr>
              <w:t>.</w:t>
            </w:r>
            <w:r w:rsidRPr="000239E4">
              <w:rPr>
                <w:sz w:val="24"/>
                <w:szCs w:val="24"/>
              </w:rPr>
              <w:t xml:space="preserve"> feeding, showering and toilet assistance</w:t>
            </w:r>
          </w:p>
          <w:p w14:paraId="625137BD" w14:textId="4FCA9A12" w:rsidR="007319F3" w:rsidRPr="000239E4" w:rsidRDefault="007319F3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Utilising equipment to move </w:t>
            </w:r>
            <w:r w:rsidR="00BA1254">
              <w:rPr>
                <w:sz w:val="24"/>
                <w:szCs w:val="24"/>
              </w:rPr>
              <w:t>residents</w:t>
            </w:r>
            <w:r w:rsidRPr="000239E4">
              <w:rPr>
                <w:sz w:val="24"/>
                <w:szCs w:val="24"/>
              </w:rPr>
              <w:t xml:space="preserve"> when necessary.</w:t>
            </w:r>
          </w:p>
          <w:p w14:paraId="57222C5A" w14:textId="5CF95382" w:rsidR="007319F3" w:rsidRPr="000239E4" w:rsidRDefault="007319F3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Help the resident to keep a standard of </w:t>
            </w:r>
            <w:r w:rsidR="00445B61" w:rsidRPr="000239E4">
              <w:rPr>
                <w:sz w:val="24"/>
                <w:szCs w:val="24"/>
              </w:rPr>
              <w:t>cleanliness and help tidy resident’s bedrooms.</w:t>
            </w:r>
          </w:p>
          <w:p w14:paraId="52B133CB" w14:textId="1496C538" w:rsidR="007319F3" w:rsidRPr="000239E4" w:rsidRDefault="007319F3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Taking the </w:t>
            </w:r>
            <w:r w:rsidR="00445B61" w:rsidRPr="000239E4">
              <w:rPr>
                <w:sz w:val="24"/>
                <w:szCs w:val="24"/>
              </w:rPr>
              <w:t>resident’s</w:t>
            </w:r>
            <w:r w:rsidRPr="000239E4">
              <w:rPr>
                <w:sz w:val="24"/>
                <w:szCs w:val="24"/>
              </w:rPr>
              <w:t xml:space="preserve"> vital </w:t>
            </w:r>
            <w:r w:rsidR="00445B61" w:rsidRPr="000239E4">
              <w:rPr>
                <w:sz w:val="24"/>
                <w:szCs w:val="24"/>
              </w:rPr>
              <w:t>signs and</w:t>
            </w:r>
            <w:r w:rsidRPr="000239E4">
              <w:rPr>
                <w:sz w:val="24"/>
                <w:szCs w:val="24"/>
              </w:rPr>
              <w:t xml:space="preserve"> having the knowledge of the NEWS chart</w:t>
            </w:r>
            <w:r w:rsidR="00445B61" w:rsidRPr="000239E4">
              <w:rPr>
                <w:sz w:val="24"/>
                <w:szCs w:val="24"/>
              </w:rPr>
              <w:t xml:space="preserve"> and escalating</w:t>
            </w:r>
            <w:r w:rsidR="00E67C0D" w:rsidRPr="000239E4">
              <w:rPr>
                <w:sz w:val="24"/>
                <w:szCs w:val="24"/>
              </w:rPr>
              <w:t xml:space="preserve"> all</w:t>
            </w:r>
            <w:r w:rsidR="00445B61" w:rsidRPr="000239E4">
              <w:rPr>
                <w:sz w:val="24"/>
                <w:szCs w:val="24"/>
              </w:rPr>
              <w:t xml:space="preserve"> concerns to the nurse.</w:t>
            </w:r>
          </w:p>
          <w:p w14:paraId="42A05C66" w14:textId="599F2004" w:rsidR="00445B61" w:rsidRPr="000239E4" w:rsidRDefault="00445B61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Adhering to cleanliness of the </w:t>
            </w:r>
            <w:r w:rsidR="00374EEF" w:rsidRPr="000239E4">
              <w:rPr>
                <w:sz w:val="24"/>
                <w:szCs w:val="24"/>
              </w:rPr>
              <w:t>workplace and updating cleaning schedules daily.</w:t>
            </w:r>
          </w:p>
          <w:p w14:paraId="12B48C80" w14:textId="0928034B" w:rsidR="007319F3" w:rsidRPr="000239E4" w:rsidRDefault="007319F3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Communicating with </w:t>
            </w:r>
            <w:r w:rsidR="00BA1254">
              <w:rPr>
                <w:sz w:val="24"/>
                <w:szCs w:val="24"/>
              </w:rPr>
              <w:t>residents’</w:t>
            </w:r>
            <w:r w:rsidRPr="000239E4">
              <w:rPr>
                <w:sz w:val="24"/>
                <w:szCs w:val="24"/>
              </w:rPr>
              <w:t xml:space="preserve"> families and external visitors and </w:t>
            </w:r>
            <w:r w:rsidR="00445B61" w:rsidRPr="000239E4">
              <w:rPr>
                <w:sz w:val="24"/>
                <w:szCs w:val="24"/>
              </w:rPr>
              <w:t>colleagues</w:t>
            </w:r>
            <w:r w:rsidRPr="000239E4">
              <w:rPr>
                <w:sz w:val="24"/>
                <w:szCs w:val="24"/>
              </w:rPr>
              <w:t>.</w:t>
            </w:r>
          </w:p>
          <w:p w14:paraId="7E4F99FF" w14:textId="5E224F7D" w:rsidR="007319F3" w:rsidRPr="000239E4" w:rsidRDefault="007319F3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>Taking resident to their external appointments and home visits</w:t>
            </w:r>
          </w:p>
          <w:p w14:paraId="554F4125" w14:textId="432ACB7A" w:rsidR="007319F3" w:rsidRPr="000239E4" w:rsidRDefault="007319F3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0239E4">
              <w:rPr>
                <w:sz w:val="24"/>
                <w:szCs w:val="24"/>
              </w:rPr>
              <w:t>Working alongside</w:t>
            </w:r>
            <w:proofErr w:type="gramEnd"/>
            <w:r w:rsidRPr="000239E4">
              <w:rPr>
                <w:sz w:val="24"/>
                <w:szCs w:val="24"/>
              </w:rPr>
              <w:t xml:space="preserve"> nurses and </w:t>
            </w:r>
            <w:r w:rsidR="00445B61" w:rsidRPr="000239E4">
              <w:rPr>
                <w:sz w:val="24"/>
                <w:szCs w:val="24"/>
              </w:rPr>
              <w:t>assisting</w:t>
            </w:r>
            <w:r w:rsidRPr="000239E4">
              <w:rPr>
                <w:sz w:val="24"/>
                <w:szCs w:val="24"/>
              </w:rPr>
              <w:t xml:space="preserve"> others when required.</w:t>
            </w:r>
          </w:p>
          <w:p w14:paraId="6EBE13C1" w14:textId="1A738D84" w:rsidR="007319F3" w:rsidRPr="000239E4" w:rsidRDefault="007319F3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Adhering to professional standards </w:t>
            </w:r>
            <w:r w:rsidR="00445B61" w:rsidRPr="000239E4">
              <w:rPr>
                <w:sz w:val="24"/>
                <w:szCs w:val="24"/>
              </w:rPr>
              <w:t>and ensuring record keeping is</w:t>
            </w:r>
            <w:r w:rsidR="00E67C0D" w:rsidRPr="000239E4">
              <w:rPr>
                <w:sz w:val="24"/>
                <w:szCs w:val="24"/>
              </w:rPr>
              <w:t xml:space="preserve"> </w:t>
            </w:r>
            <w:proofErr w:type="gramStart"/>
            <w:r w:rsidR="00E67C0D" w:rsidRPr="000239E4">
              <w:rPr>
                <w:sz w:val="24"/>
                <w:szCs w:val="24"/>
              </w:rPr>
              <w:t>accurate</w:t>
            </w:r>
            <w:proofErr w:type="gramEnd"/>
            <w:r w:rsidR="00E67C0D" w:rsidRPr="000239E4">
              <w:rPr>
                <w:sz w:val="24"/>
                <w:szCs w:val="24"/>
              </w:rPr>
              <w:t xml:space="preserve"> and to a</w:t>
            </w:r>
            <w:r w:rsidR="00445B61" w:rsidRPr="000239E4">
              <w:rPr>
                <w:sz w:val="24"/>
                <w:szCs w:val="24"/>
              </w:rPr>
              <w:t xml:space="preserve"> professional standard.</w:t>
            </w:r>
          </w:p>
          <w:p w14:paraId="1611D5DC" w14:textId="66EF8FEF" w:rsidR="007319F3" w:rsidRPr="000239E4" w:rsidRDefault="007319F3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>Escalating any concerns to nurses and documenting all care interventions.</w:t>
            </w:r>
          </w:p>
          <w:p w14:paraId="0708DDDD" w14:textId="4B79A688" w:rsidR="00E67C0D" w:rsidRPr="000239E4" w:rsidRDefault="00E67C0D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Adhering to your role of a keyworker. </w:t>
            </w:r>
          </w:p>
          <w:p w14:paraId="4EA90254" w14:textId="30AAA317" w:rsidR="00E67C0D" w:rsidRPr="000239E4" w:rsidRDefault="00E67C0D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All care </w:t>
            </w:r>
            <w:proofErr w:type="gramStart"/>
            <w:r w:rsidRPr="000239E4">
              <w:rPr>
                <w:sz w:val="24"/>
                <w:szCs w:val="24"/>
              </w:rPr>
              <w:t>is provided</w:t>
            </w:r>
            <w:proofErr w:type="gramEnd"/>
            <w:r w:rsidRPr="000239E4">
              <w:rPr>
                <w:sz w:val="24"/>
                <w:szCs w:val="24"/>
              </w:rPr>
              <w:t xml:space="preserve"> by working as a team. </w:t>
            </w:r>
          </w:p>
          <w:p w14:paraId="27C9F026" w14:textId="04B12344" w:rsidR="00E67C0D" w:rsidRPr="000239E4" w:rsidRDefault="00E67C0D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Being responsive to our residents needs and requests/compliments/concerns </w:t>
            </w:r>
            <w:proofErr w:type="gramStart"/>
            <w:r w:rsidRPr="000239E4">
              <w:rPr>
                <w:sz w:val="24"/>
                <w:szCs w:val="24"/>
              </w:rPr>
              <w:t>in a timely man</w:t>
            </w:r>
            <w:r w:rsidR="000460CD" w:rsidRPr="000239E4">
              <w:rPr>
                <w:sz w:val="24"/>
                <w:szCs w:val="24"/>
              </w:rPr>
              <w:t>ner</w:t>
            </w:r>
            <w:proofErr w:type="gramEnd"/>
          </w:p>
          <w:p w14:paraId="43988D9E" w14:textId="6ED7C0CE" w:rsidR="006E1B35" w:rsidRPr="000239E4" w:rsidRDefault="006E1B35" w:rsidP="00EB1A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39E4">
              <w:rPr>
                <w:sz w:val="24"/>
                <w:szCs w:val="24"/>
              </w:rPr>
              <w:t xml:space="preserve">Once trained </w:t>
            </w:r>
            <w:r w:rsidR="000460CD" w:rsidRPr="000239E4">
              <w:rPr>
                <w:sz w:val="24"/>
                <w:szCs w:val="24"/>
              </w:rPr>
              <w:t xml:space="preserve">and competent, provide tracheostomy and ventilator care as </w:t>
            </w:r>
            <w:proofErr w:type="gramStart"/>
            <w:r w:rsidR="000460CD" w:rsidRPr="000239E4">
              <w:rPr>
                <w:sz w:val="24"/>
                <w:szCs w:val="24"/>
              </w:rPr>
              <w:t>required</w:t>
            </w:r>
            <w:proofErr w:type="gramEnd"/>
            <w:r w:rsidR="000460CD" w:rsidRPr="000239E4">
              <w:rPr>
                <w:sz w:val="24"/>
                <w:szCs w:val="24"/>
              </w:rPr>
              <w:t xml:space="preserve">. </w:t>
            </w:r>
          </w:p>
          <w:p w14:paraId="6485684C" w14:textId="77777777" w:rsidR="007319F3" w:rsidRDefault="007319F3" w:rsidP="00EB1AA9">
            <w:pPr>
              <w:rPr>
                <w:b/>
                <w:bCs/>
              </w:rPr>
            </w:pPr>
          </w:p>
          <w:p w14:paraId="149B4D21" w14:textId="77777777" w:rsidR="000239E4" w:rsidRPr="00EB1AA9" w:rsidRDefault="000239E4" w:rsidP="000239E4">
            <w:pPr>
              <w:rPr>
                <w:b/>
                <w:bCs/>
              </w:rPr>
            </w:pPr>
            <w:r w:rsidRPr="00773732">
              <w:rPr>
                <w:b/>
                <w:bCs/>
              </w:rPr>
              <w:t>Training</w:t>
            </w:r>
          </w:p>
          <w:p w14:paraId="24EAB399" w14:textId="77777777" w:rsidR="000239E4" w:rsidRDefault="000239E4" w:rsidP="000239E4">
            <w:r>
              <w:t xml:space="preserve">To remain compliant in all mandatory training, as </w:t>
            </w:r>
            <w:proofErr w:type="gramStart"/>
            <w:r>
              <w:t>appropriate for</w:t>
            </w:r>
            <w:proofErr w:type="gramEnd"/>
            <w:r>
              <w:t xml:space="preserve"> the role, which may change at times and on request. </w:t>
            </w:r>
          </w:p>
          <w:p w14:paraId="5AF8BF6F" w14:textId="77777777" w:rsidR="000239E4" w:rsidRPr="00773732" w:rsidRDefault="000239E4" w:rsidP="000239E4"/>
          <w:p w14:paraId="13D4F0C6" w14:textId="77777777" w:rsidR="000239E4" w:rsidRPr="00773732" w:rsidRDefault="000239E4" w:rsidP="000239E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773732">
              <w:rPr>
                <w:rFonts w:asciiTheme="minorHAnsi" w:hAnsiTheme="minorHAnsi" w:cstheme="minorBidi"/>
                <w:color w:val="auto"/>
              </w:rPr>
              <w:lastRenderedPageBreak/>
              <w:t xml:space="preserve">To take every reasonable opportunity for </w:t>
            </w:r>
            <w:proofErr w:type="gramStart"/>
            <w:r w:rsidRPr="00773732">
              <w:rPr>
                <w:rFonts w:asciiTheme="minorHAnsi" w:hAnsiTheme="minorHAnsi" w:cstheme="minorBidi"/>
                <w:color w:val="auto"/>
              </w:rPr>
              <w:t>maintaining</w:t>
            </w:r>
            <w:proofErr w:type="gramEnd"/>
            <w:r w:rsidRPr="00773732">
              <w:rPr>
                <w:rFonts w:asciiTheme="minorHAnsi" w:hAnsiTheme="minorHAnsi" w:cstheme="minorBidi"/>
                <w:color w:val="auto"/>
              </w:rPr>
              <w:t xml:space="preserve">, developing and acquiring competencies and skills for self-development.  </w:t>
            </w:r>
          </w:p>
          <w:p w14:paraId="6B25A189" w14:textId="77777777" w:rsidR="000239E4" w:rsidRPr="00773732" w:rsidRDefault="000239E4" w:rsidP="000239E4">
            <w:pPr>
              <w:rPr>
                <w:b/>
                <w:bCs/>
              </w:rPr>
            </w:pPr>
          </w:p>
          <w:p w14:paraId="1DB2FB29" w14:textId="77777777" w:rsidR="000239E4" w:rsidRPr="00EB1AA9" w:rsidRDefault="000239E4" w:rsidP="000239E4">
            <w:pPr>
              <w:rPr>
                <w:b/>
                <w:bCs/>
              </w:rPr>
            </w:pPr>
            <w:r w:rsidRPr="00773732">
              <w:rPr>
                <w:b/>
                <w:bCs/>
              </w:rPr>
              <w:t>Health and Safety</w:t>
            </w:r>
          </w:p>
          <w:p w14:paraId="765A0711" w14:textId="77777777" w:rsidR="000239E4" w:rsidRDefault="000239E4" w:rsidP="000239E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EB1AA9">
              <w:rPr>
                <w:rFonts w:asciiTheme="minorHAnsi" w:hAnsiTheme="minorHAnsi" w:cstheme="minorBidi"/>
                <w:color w:val="auto"/>
              </w:rPr>
              <w:t xml:space="preserve">To </w:t>
            </w:r>
            <w:proofErr w:type="gramStart"/>
            <w:r w:rsidRPr="00EB1AA9">
              <w:rPr>
                <w:rFonts w:asciiTheme="minorHAnsi" w:hAnsiTheme="minorHAnsi" w:cstheme="minorBidi"/>
                <w:color w:val="auto"/>
              </w:rPr>
              <w:t>work,</w:t>
            </w:r>
            <w:proofErr w:type="gramEnd"/>
            <w:r w:rsidRPr="00EB1AA9">
              <w:rPr>
                <w:rFonts w:asciiTheme="minorHAnsi" w:hAnsiTheme="minorHAnsi" w:cstheme="minorBidi"/>
                <w:color w:val="auto"/>
              </w:rPr>
              <w:t xml:space="preserve"> at all times in a safe and responsible manner by demonstrating a knowledge and understanding of all Health and Safety policies and the implementation of safety measures including, but not limited to:</w:t>
            </w:r>
          </w:p>
          <w:p w14:paraId="76CE19B3" w14:textId="77777777" w:rsidR="000239E4" w:rsidRPr="00EB1AA9" w:rsidRDefault="000239E4" w:rsidP="000239E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14:paraId="5BBCD20D" w14:textId="77777777" w:rsidR="000239E4" w:rsidRPr="00EB1AA9" w:rsidRDefault="000239E4" w:rsidP="000239E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auto"/>
              </w:rPr>
            </w:pPr>
            <w:r w:rsidRPr="00EB1AA9">
              <w:rPr>
                <w:rFonts w:asciiTheme="minorHAnsi" w:hAnsiTheme="minorHAnsi" w:cstheme="minorBidi"/>
                <w:color w:val="auto"/>
              </w:rPr>
              <w:t xml:space="preserve">Fire regulations </w:t>
            </w:r>
          </w:p>
          <w:p w14:paraId="75D31775" w14:textId="77777777" w:rsidR="000239E4" w:rsidRPr="00EB1AA9" w:rsidRDefault="000239E4" w:rsidP="000239E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auto"/>
              </w:rPr>
            </w:pPr>
            <w:r w:rsidRPr="00EB1AA9">
              <w:rPr>
                <w:rFonts w:asciiTheme="minorHAnsi" w:hAnsiTheme="minorHAnsi" w:cstheme="minorBidi"/>
                <w:color w:val="auto"/>
              </w:rPr>
              <w:t xml:space="preserve">COSHH Regulations </w:t>
            </w:r>
          </w:p>
          <w:p w14:paraId="3E37E26F" w14:textId="77777777" w:rsidR="000239E4" w:rsidRPr="00EB1AA9" w:rsidRDefault="000239E4" w:rsidP="000239E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00EB1AA9">
              <w:rPr>
                <w:rFonts w:asciiTheme="minorHAnsi" w:hAnsiTheme="minorHAnsi" w:cstheme="minorBidi"/>
                <w:sz w:val="24"/>
                <w:szCs w:val="24"/>
              </w:rPr>
              <w:t>Moving and Handling</w:t>
            </w:r>
          </w:p>
          <w:p w14:paraId="00F68AC7" w14:textId="77777777" w:rsidR="000239E4" w:rsidRPr="00773732" w:rsidRDefault="000239E4" w:rsidP="000239E4">
            <w:pPr>
              <w:rPr>
                <w:b/>
                <w:bCs/>
              </w:rPr>
            </w:pPr>
          </w:p>
          <w:p w14:paraId="0D36AE97" w14:textId="77777777" w:rsidR="000239E4" w:rsidRDefault="000239E4" w:rsidP="000239E4">
            <w:pPr>
              <w:rPr>
                <w:b/>
                <w:bCs/>
              </w:rPr>
            </w:pPr>
            <w:r w:rsidRPr="00773732">
              <w:rPr>
                <w:b/>
                <w:bCs/>
              </w:rPr>
              <w:t>Information Governance</w:t>
            </w:r>
            <w:r>
              <w:rPr>
                <w:b/>
                <w:bCs/>
              </w:rPr>
              <w:t xml:space="preserve"> and Confidentiality</w:t>
            </w:r>
          </w:p>
          <w:p w14:paraId="05D4967A" w14:textId="77777777" w:rsidR="000239E4" w:rsidRDefault="000239E4" w:rsidP="000239E4">
            <w:r w:rsidRPr="00EB1AA9">
              <w:t xml:space="preserve">To </w:t>
            </w:r>
            <w:proofErr w:type="gramStart"/>
            <w:r w:rsidRPr="00EB1AA9">
              <w:t>comply with</w:t>
            </w:r>
            <w:proofErr w:type="gramEnd"/>
            <w:r w:rsidRPr="00EB1AA9">
              <w:t xml:space="preserve"> all information governance policies and procedures</w:t>
            </w:r>
            <w:r>
              <w:t>. Ensure</w:t>
            </w:r>
            <w:r w:rsidRPr="00903940">
              <w:t xml:space="preserve"> all </w:t>
            </w:r>
            <w:r w:rsidRPr="00EB1AA9">
              <w:t xml:space="preserve">records are </w:t>
            </w:r>
            <w:r w:rsidRPr="00903940">
              <w:t xml:space="preserve">contemporaneous, </w:t>
            </w:r>
            <w:proofErr w:type="gramStart"/>
            <w:r w:rsidRPr="00EB1AA9">
              <w:t>handled</w:t>
            </w:r>
            <w:proofErr w:type="gramEnd"/>
            <w:r w:rsidRPr="00EB1AA9">
              <w:t xml:space="preserve"> in adherence to principles of confidentiality and security, information quality and records management.</w:t>
            </w:r>
            <w:r>
              <w:t xml:space="preserve"> </w:t>
            </w:r>
          </w:p>
          <w:p w14:paraId="479D671A" w14:textId="77777777" w:rsidR="000239E4" w:rsidRDefault="000239E4" w:rsidP="000239E4"/>
          <w:p w14:paraId="7C89290B" w14:textId="77777777" w:rsidR="000239E4" w:rsidRDefault="000239E4" w:rsidP="000239E4">
            <w:r>
              <w:t>To follow team processes for documentation and reporting and adhere to all information related policies and procedures, e.g. social media.</w:t>
            </w:r>
          </w:p>
          <w:p w14:paraId="34F8965D" w14:textId="77777777" w:rsidR="000239E4" w:rsidRDefault="000239E4" w:rsidP="000239E4"/>
          <w:p w14:paraId="3FAD41EE" w14:textId="77777777" w:rsidR="000239E4" w:rsidRDefault="000239E4" w:rsidP="000239E4">
            <w:pPr>
              <w:rPr>
                <w:b/>
                <w:bCs/>
              </w:rPr>
            </w:pPr>
            <w:r w:rsidRPr="00773732">
              <w:rPr>
                <w:b/>
                <w:bCs/>
              </w:rPr>
              <w:t>Infection, Prevention and Control</w:t>
            </w:r>
          </w:p>
          <w:p w14:paraId="74C7209F" w14:textId="77777777" w:rsidR="000239E4" w:rsidRDefault="000239E4" w:rsidP="000239E4">
            <w:r w:rsidRPr="00773732">
              <w:t>All staff must be aware</w:t>
            </w:r>
            <w:r>
              <w:t xml:space="preserve"> and </w:t>
            </w:r>
            <w:proofErr w:type="gramStart"/>
            <w:r>
              <w:t>maintain</w:t>
            </w:r>
            <w:proofErr w:type="gramEnd"/>
            <w:r>
              <w:t xml:space="preserve"> up to date knowledge</w:t>
            </w:r>
            <w:r w:rsidRPr="00773732">
              <w:t xml:space="preserve"> of infection prevention and control policies, practices and guidelines</w:t>
            </w:r>
            <w:r>
              <w:t xml:space="preserve"> </w:t>
            </w:r>
            <w:r w:rsidRPr="00773732">
              <w:t xml:space="preserve">appropriate for their duties and must follow these at all times to maintain a safe environment for </w:t>
            </w:r>
            <w:r>
              <w:t>residents</w:t>
            </w:r>
            <w:r w:rsidRPr="00773732">
              <w:t>, visitors and staff</w:t>
            </w:r>
            <w:r>
              <w:t>.</w:t>
            </w:r>
          </w:p>
          <w:p w14:paraId="163B79D0" w14:textId="77777777" w:rsidR="000239E4" w:rsidRDefault="000239E4" w:rsidP="000239E4"/>
          <w:p w14:paraId="02BCD265" w14:textId="77777777" w:rsidR="000239E4" w:rsidRPr="00903940" w:rsidRDefault="000239E4" w:rsidP="000239E4">
            <w:pPr>
              <w:rPr>
                <w:b/>
                <w:bCs/>
              </w:rPr>
            </w:pPr>
            <w:r w:rsidRPr="00903940">
              <w:rPr>
                <w:b/>
                <w:bCs/>
              </w:rPr>
              <w:t>Safe Working</w:t>
            </w:r>
          </w:p>
          <w:p w14:paraId="20E01827" w14:textId="4F9105CE" w:rsidR="000239E4" w:rsidRPr="00903940" w:rsidRDefault="000239E4" w:rsidP="000239E4">
            <w:r w:rsidRPr="00903940">
              <w:t xml:space="preserve">To work and adhere with all company policies and procedures. This will include reporting incidents, complaints, compliments, and raising concerns. </w:t>
            </w:r>
            <w:proofErr w:type="gramStart"/>
            <w:r w:rsidRPr="00903940">
              <w:t>Utilising</w:t>
            </w:r>
            <w:proofErr w:type="gramEnd"/>
            <w:r w:rsidRPr="00903940">
              <w:t xml:space="preserve"> the Freedom </w:t>
            </w:r>
            <w:r>
              <w:t>t</w:t>
            </w:r>
            <w:r w:rsidRPr="00903940">
              <w:t>o Speak Up framework as appropriate.</w:t>
            </w:r>
          </w:p>
          <w:p w14:paraId="500B5122" w14:textId="77777777" w:rsidR="000239E4" w:rsidRDefault="000239E4" w:rsidP="000239E4">
            <w:pPr>
              <w:rPr>
                <w:color w:val="FF0000"/>
              </w:rPr>
            </w:pPr>
          </w:p>
          <w:p w14:paraId="5D346256" w14:textId="77777777" w:rsidR="000239E4" w:rsidRDefault="000239E4" w:rsidP="000239E4">
            <w:pPr>
              <w:rPr>
                <w:b/>
                <w:bCs/>
              </w:rPr>
            </w:pPr>
            <w:r w:rsidRPr="00EB1AA9">
              <w:rPr>
                <w:b/>
                <w:bCs/>
              </w:rPr>
              <w:t>Safeguarding Children and Vulnerable Adults</w:t>
            </w:r>
          </w:p>
          <w:p w14:paraId="3DAD670B" w14:textId="03911AD0" w:rsidR="000239E4" w:rsidRPr="007C7F8B" w:rsidRDefault="000239E4" w:rsidP="000239E4">
            <w:r w:rsidRPr="007C7F8B">
              <w:t xml:space="preserve">To </w:t>
            </w:r>
            <w:proofErr w:type="gramStart"/>
            <w:r w:rsidRPr="007C7F8B">
              <w:t>identify</w:t>
            </w:r>
            <w:proofErr w:type="gramEnd"/>
            <w:r w:rsidRPr="007C7F8B">
              <w:t xml:space="preserve"> and report abuse, whether known, suspected, witnessed or otherwise. To be familiar with and follow all relevant policies and procedures relating to safeguarding. </w:t>
            </w:r>
          </w:p>
          <w:p w14:paraId="71EF2AA3" w14:textId="6BADA54F" w:rsidR="00773732" w:rsidRDefault="00773732" w:rsidP="000239E4"/>
        </w:tc>
      </w:tr>
      <w:tr w:rsidR="00343A09" w14:paraId="568101B1" w14:textId="77777777" w:rsidTr="00343A09">
        <w:tc>
          <w:tcPr>
            <w:tcW w:w="10302" w:type="dxa"/>
            <w:gridSpan w:val="4"/>
            <w:shd w:val="clear" w:color="auto" w:fill="D9D9D9" w:themeFill="background1" w:themeFillShade="D9"/>
          </w:tcPr>
          <w:p w14:paraId="5E46A050" w14:textId="72C300D2" w:rsidR="00343A09" w:rsidRPr="00343A09" w:rsidRDefault="00343A09" w:rsidP="00343A09">
            <w:pPr>
              <w:rPr>
                <w:b/>
                <w:bCs/>
              </w:rPr>
            </w:pPr>
          </w:p>
        </w:tc>
      </w:tr>
      <w:tr w:rsidR="00343A09" w14:paraId="152E34D6" w14:textId="77777777" w:rsidTr="00343A09">
        <w:tc>
          <w:tcPr>
            <w:tcW w:w="10302" w:type="dxa"/>
            <w:gridSpan w:val="4"/>
          </w:tcPr>
          <w:p w14:paraId="7FBF8943" w14:textId="77777777" w:rsidR="000239E4" w:rsidRDefault="000239E4" w:rsidP="000239E4">
            <w:r w:rsidRPr="00343A09">
              <w:t>The</w:t>
            </w:r>
            <w:r>
              <w:t xml:space="preserve"> neurological care needs of the residents at The Dean </w:t>
            </w:r>
            <w:r w:rsidRPr="00343A09">
              <w:t xml:space="preserve">may present </w:t>
            </w:r>
            <w:r>
              <w:t>with</w:t>
            </w:r>
            <w:r w:rsidRPr="00343A09">
              <w:t xml:space="preserve"> challenging situations, which may heighten the physical, sensory and emotional demands of the role.</w:t>
            </w:r>
          </w:p>
          <w:p w14:paraId="7201BBAF" w14:textId="77777777" w:rsidR="000239E4" w:rsidRDefault="000239E4" w:rsidP="000239E4"/>
          <w:p w14:paraId="478A1B97" w14:textId="77777777" w:rsidR="000239E4" w:rsidRDefault="000239E4" w:rsidP="000239E4">
            <w:r>
              <w:t xml:space="preserve">To be responsive to requests from residents, visitors, family members and external professionals as </w:t>
            </w:r>
            <w:proofErr w:type="gramStart"/>
            <w:r>
              <w:t>appropriate</w:t>
            </w:r>
            <w:proofErr w:type="gramEnd"/>
            <w:r>
              <w:t xml:space="preserve">, liaising with senior team members where necessary. Expectations of family and friends can contribute to challenging situations. Communication </w:t>
            </w:r>
            <w:proofErr w:type="gramStart"/>
            <w:r>
              <w:t>at all times</w:t>
            </w:r>
            <w:proofErr w:type="gramEnd"/>
            <w:r>
              <w:t xml:space="preserve"> must be respectful and confidentiality maintained as appropriate.</w:t>
            </w:r>
          </w:p>
          <w:p w14:paraId="2907394E" w14:textId="326CCE28" w:rsidR="00343A09" w:rsidRDefault="00343A09" w:rsidP="000239E4"/>
        </w:tc>
      </w:tr>
      <w:tr w:rsidR="00343A09" w14:paraId="2D664B4C" w14:textId="77777777" w:rsidTr="00343A09">
        <w:tc>
          <w:tcPr>
            <w:tcW w:w="10302" w:type="dxa"/>
            <w:gridSpan w:val="4"/>
            <w:shd w:val="clear" w:color="auto" w:fill="D9D9D9" w:themeFill="background1" w:themeFillShade="D9"/>
          </w:tcPr>
          <w:p w14:paraId="28ADC4DE" w14:textId="0442FA76" w:rsidR="00343A09" w:rsidRPr="00343A09" w:rsidRDefault="00343A09" w:rsidP="00343A09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of </w:t>
            </w:r>
            <w:r w:rsidRPr="00343A09">
              <w:rPr>
                <w:b/>
                <w:bCs/>
              </w:rPr>
              <w:t>Elysium Values</w:t>
            </w:r>
            <w:r>
              <w:rPr>
                <w:b/>
                <w:bCs/>
              </w:rPr>
              <w:t xml:space="preserve"> (KITE)</w:t>
            </w:r>
          </w:p>
        </w:tc>
      </w:tr>
      <w:tr w:rsidR="00F404E7" w14:paraId="27ECE484" w14:textId="77777777" w:rsidTr="005A42E9">
        <w:tc>
          <w:tcPr>
            <w:tcW w:w="1838" w:type="dxa"/>
          </w:tcPr>
          <w:p w14:paraId="5E161F98" w14:textId="28CDFC77" w:rsidR="00F404E7" w:rsidRDefault="00F404E7" w:rsidP="00F404E7">
            <w:pPr>
              <w:tabs>
                <w:tab w:val="left" w:pos="1635"/>
              </w:tabs>
            </w:pPr>
            <w:r>
              <w:t>K- Kindness</w:t>
            </w:r>
          </w:p>
        </w:tc>
        <w:tc>
          <w:tcPr>
            <w:tcW w:w="8464" w:type="dxa"/>
            <w:gridSpan w:val="3"/>
          </w:tcPr>
          <w:p w14:paraId="4863637F" w14:textId="746F4321" w:rsidR="00F404E7" w:rsidRDefault="00F404E7" w:rsidP="00F404E7">
            <w:pPr>
              <w:tabs>
                <w:tab w:val="left" w:pos="1635"/>
              </w:tabs>
            </w:pPr>
            <w:r>
              <w:t xml:space="preserve">To champion kindness, compassion and dignity within the workplace. </w:t>
            </w:r>
            <w:r>
              <w:br/>
            </w:r>
            <w:r w:rsidRPr="00D53775">
              <w:rPr>
                <w:rFonts w:eastAsia="Times New Roman" w:cstheme="minorHAnsi"/>
                <w:lang w:eastAsia="en-GB"/>
              </w:rPr>
              <w:t xml:space="preserve">Establishing and </w:t>
            </w:r>
            <w:proofErr w:type="gramStart"/>
            <w:r w:rsidRPr="00D53775">
              <w:rPr>
                <w:rFonts w:eastAsia="Times New Roman" w:cstheme="minorHAnsi"/>
                <w:lang w:eastAsia="en-GB"/>
              </w:rPr>
              <w:t>maintaining</w:t>
            </w:r>
            <w:proofErr w:type="gramEnd"/>
            <w:r w:rsidRPr="00D53775">
              <w:rPr>
                <w:rFonts w:eastAsia="Times New Roman" w:cstheme="minorHAnsi"/>
                <w:lang w:eastAsia="en-GB"/>
              </w:rPr>
              <w:t xml:space="preserve"> good working relationships with all staff, visitors, and service users.</w:t>
            </w:r>
          </w:p>
        </w:tc>
      </w:tr>
      <w:tr w:rsidR="00F404E7" w14:paraId="47327800" w14:textId="77777777" w:rsidTr="005A42E9">
        <w:tc>
          <w:tcPr>
            <w:tcW w:w="1838" w:type="dxa"/>
          </w:tcPr>
          <w:p w14:paraId="3FFA2B2D" w14:textId="05C46D99" w:rsidR="00F404E7" w:rsidRDefault="00F404E7" w:rsidP="00F404E7">
            <w:pPr>
              <w:tabs>
                <w:tab w:val="left" w:pos="1635"/>
              </w:tabs>
            </w:pPr>
            <w:r>
              <w:lastRenderedPageBreak/>
              <w:t>I- Integrity</w:t>
            </w:r>
          </w:p>
        </w:tc>
        <w:tc>
          <w:tcPr>
            <w:tcW w:w="8464" w:type="dxa"/>
            <w:gridSpan w:val="3"/>
          </w:tcPr>
          <w:p w14:paraId="5D880B9D" w14:textId="6B6F3BB4" w:rsidR="00F404E7" w:rsidRDefault="00F404E7" w:rsidP="00F404E7">
            <w:pPr>
              <w:tabs>
                <w:tab w:val="left" w:pos="1635"/>
              </w:tabs>
            </w:pPr>
            <w:r>
              <w:t xml:space="preserve">To </w:t>
            </w:r>
            <w:proofErr w:type="gramStart"/>
            <w:r>
              <w:t>demonstrate</w:t>
            </w:r>
            <w:proofErr w:type="gramEnd"/>
            <w:r>
              <w:t xml:space="preserve"> integrity by being honest and doing the right thing to improve the experience of care for our residents and care for those they work alongside.</w:t>
            </w:r>
          </w:p>
        </w:tc>
      </w:tr>
      <w:tr w:rsidR="00F404E7" w14:paraId="7D008363" w14:textId="77777777" w:rsidTr="005A42E9">
        <w:tc>
          <w:tcPr>
            <w:tcW w:w="1838" w:type="dxa"/>
          </w:tcPr>
          <w:p w14:paraId="47597943" w14:textId="306E1752" w:rsidR="00F404E7" w:rsidRDefault="00F404E7" w:rsidP="00F404E7">
            <w:pPr>
              <w:tabs>
                <w:tab w:val="left" w:pos="1635"/>
              </w:tabs>
            </w:pPr>
            <w:r>
              <w:t>T- Teamwork</w:t>
            </w:r>
          </w:p>
        </w:tc>
        <w:tc>
          <w:tcPr>
            <w:tcW w:w="8464" w:type="dxa"/>
            <w:gridSpan w:val="3"/>
          </w:tcPr>
          <w:p w14:paraId="306A670F" w14:textId="255245D4" w:rsidR="00F404E7" w:rsidRDefault="00F404E7" w:rsidP="00F404E7">
            <w:pPr>
              <w:tabs>
                <w:tab w:val="left" w:pos="1635"/>
              </w:tabs>
            </w:pPr>
            <w:r>
              <w:t xml:space="preserve">To </w:t>
            </w:r>
            <w:proofErr w:type="gramStart"/>
            <w:r>
              <w:t>work</w:t>
            </w:r>
            <w:proofErr w:type="gramEnd"/>
            <w:r>
              <w:t xml:space="preserve"> with colleagues as a team to deliver great care and outcomes.</w:t>
            </w:r>
            <w:r>
              <w:br/>
            </w:r>
            <w:r w:rsidRPr="00D53775">
              <w:rPr>
                <w:rFonts w:eastAsia="Times New Roman" w:cstheme="minorHAnsi"/>
                <w:lang w:eastAsia="en-GB"/>
              </w:rPr>
              <w:t>Helping to create a positive culture within The Dean Neurological Centre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F404E7" w14:paraId="4EDE4836" w14:textId="77777777" w:rsidTr="005A42E9">
        <w:tc>
          <w:tcPr>
            <w:tcW w:w="1838" w:type="dxa"/>
          </w:tcPr>
          <w:p w14:paraId="0E3CD078" w14:textId="405C27BC" w:rsidR="00F404E7" w:rsidRDefault="00F404E7" w:rsidP="00F404E7">
            <w:pPr>
              <w:tabs>
                <w:tab w:val="left" w:pos="1635"/>
              </w:tabs>
            </w:pPr>
            <w:r>
              <w:t>E- Excellence</w:t>
            </w:r>
          </w:p>
        </w:tc>
        <w:tc>
          <w:tcPr>
            <w:tcW w:w="8464" w:type="dxa"/>
            <w:gridSpan w:val="3"/>
          </w:tcPr>
          <w:p w14:paraId="4716C05B" w14:textId="604D9CF9" w:rsidR="00F404E7" w:rsidRDefault="00F404E7" w:rsidP="00F404E7">
            <w:pPr>
              <w:tabs>
                <w:tab w:val="left" w:pos="1635"/>
              </w:tabs>
            </w:pPr>
            <w:r>
              <w:t xml:space="preserve">To </w:t>
            </w:r>
            <w:proofErr w:type="gramStart"/>
            <w:r>
              <w:t>demonstrate</w:t>
            </w:r>
            <w:proofErr w:type="gramEnd"/>
            <w:r>
              <w:t xml:space="preserve"> excellence, best practice and continued commitment to learning.</w:t>
            </w:r>
          </w:p>
        </w:tc>
      </w:tr>
      <w:tr w:rsidR="00F404E7" w14:paraId="056CD5BF" w14:textId="77777777" w:rsidTr="007C7F8B">
        <w:tc>
          <w:tcPr>
            <w:tcW w:w="10302" w:type="dxa"/>
            <w:gridSpan w:val="4"/>
            <w:shd w:val="clear" w:color="auto" w:fill="D9D9D9" w:themeFill="background1" w:themeFillShade="D9"/>
          </w:tcPr>
          <w:p w14:paraId="3C294311" w14:textId="77777777" w:rsidR="00F404E7" w:rsidRDefault="00F404E7" w:rsidP="00F404E7">
            <w:pPr>
              <w:tabs>
                <w:tab w:val="left" w:pos="1635"/>
              </w:tabs>
            </w:pPr>
          </w:p>
          <w:p w14:paraId="2915A44A" w14:textId="77777777" w:rsidR="00F404E7" w:rsidRDefault="00F404E7" w:rsidP="00F404E7">
            <w:pPr>
              <w:tabs>
                <w:tab w:val="left" w:pos="1635"/>
              </w:tabs>
              <w:rPr>
                <w:i/>
                <w:iCs/>
              </w:rPr>
            </w:pPr>
            <w:r w:rsidRPr="007C7F8B">
              <w:rPr>
                <w:i/>
                <w:iCs/>
              </w:rPr>
              <w:t xml:space="preserve">The above job description is a summary of the main responsibilities of the postholder, and not an exhaustive list of duties to </w:t>
            </w:r>
            <w:proofErr w:type="gramStart"/>
            <w:r w:rsidRPr="007C7F8B">
              <w:rPr>
                <w:i/>
                <w:iCs/>
              </w:rPr>
              <w:t>be undertaken</w:t>
            </w:r>
            <w:proofErr w:type="gramEnd"/>
            <w:r w:rsidRPr="007C7F8B">
              <w:rPr>
                <w:i/>
                <w:iCs/>
              </w:rPr>
              <w:t xml:space="preserve">. The duties may be redefined </w:t>
            </w:r>
            <w:proofErr w:type="gramStart"/>
            <w:r w:rsidRPr="007C7F8B">
              <w:rPr>
                <w:i/>
                <w:iCs/>
              </w:rPr>
              <w:t>in accordance with</w:t>
            </w:r>
            <w:proofErr w:type="gramEnd"/>
            <w:r w:rsidRPr="007C7F8B">
              <w:rPr>
                <w:i/>
                <w:iCs/>
              </w:rPr>
              <w:t xml:space="preserve"> the demands of the service. Any redefinition will be subject to discussion between yourself and your manager and be within your level of competence.</w:t>
            </w:r>
          </w:p>
          <w:p w14:paraId="7B0B8EA9" w14:textId="7B2100D1" w:rsidR="00F404E7" w:rsidRPr="007C7F8B" w:rsidRDefault="00F404E7" w:rsidP="00F404E7">
            <w:pPr>
              <w:tabs>
                <w:tab w:val="left" w:pos="1635"/>
              </w:tabs>
              <w:rPr>
                <w:i/>
                <w:iCs/>
              </w:rPr>
            </w:pPr>
          </w:p>
        </w:tc>
      </w:tr>
      <w:tr w:rsidR="00F404E7" w14:paraId="4DFA7945" w14:textId="77777777" w:rsidTr="007C7F8B">
        <w:tc>
          <w:tcPr>
            <w:tcW w:w="10302" w:type="dxa"/>
            <w:gridSpan w:val="4"/>
            <w:shd w:val="clear" w:color="auto" w:fill="D9D9D9" w:themeFill="background1" w:themeFillShade="D9"/>
          </w:tcPr>
          <w:p w14:paraId="1A4DC56F" w14:textId="77777777" w:rsidR="00F404E7" w:rsidRDefault="00F404E7" w:rsidP="00F404E7">
            <w:pPr>
              <w:tabs>
                <w:tab w:val="left" w:pos="1635"/>
              </w:tabs>
              <w:rPr>
                <w:b/>
                <w:bCs/>
              </w:rPr>
            </w:pPr>
            <w:r w:rsidRPr="007C7F8B">
              <w:rPr>
                <w:b/>
                <w:bCs/>
              </w:rPr>
              <w:t xml:space="preserve">Declaration: I have reviewed this job description and I understand all my job duties and responsibilities. I </w:t>
            </w:r>
            <w:proofErr w:type="gramStart"/>
            <w:r w:rsidRPr="007C7F8B">
              <w:rPr>
                <w:b/>
                <w:bCs/>
              </w:rPr>
              <w:t>am able to</w:t>
            </w:r>
            <w:proofErr w:type="gramEnd"/>
            <w:r w:rsidRPr="007C7F8B">
              <w:rPr>
                <w:b/>
                <w:bCs/>
              </w:rPr>
              <w:t xml:space="preserve"> perform the functions as outlined. </w:t>
            </w:r>
          </w:p>
          <w:p w14:paraId="6A440180" w14:textId="36E02959" w:rsidR="00F404E7" w:rsidRPr="007C7F8B" w:rsidRDefault="00F404E7" w:rsidP="00F404E7">
            <w:pPr>
              <w:tabs>
                <w:tab w:val="left" w:pos="1635"/>
              </w:tabs>
              <w:rPr>
                <w:b/>
                <w:bCs/>
              </w:rPr>
            </w:pPr>
          </w:p>
        </w:tc>
      </w:tr>
      <w:tr w:rsidR="00F404E7" w14:paraId="033D843D" w14:textId="77777777" w:rsidTr="007C7F8B">
        <w:trPr>
          <w:trHeight w:val="293"/>
        </w:trPr>
        <w:tc>
          <w:tcPr>
            <w:tcW w:w="3434" w:type="dxa"/>
            <w:gridSpan w:val="2"/>
            <w:shd w:val="clear" w:color="auto" w:fill="D9D9D9" w:themeFill="background1" w:themeFillShade="D9"/>
          </w:tcPr>
          <w:p w14:paraId="19ADA02A" w14:textId="12AB01D7" w:rsidR="00F404E7" w:rsidRPr="007C7F8B" w:rsidRDefault="00F404E7" w:rsidP="00F404E7">
            <w:pPr>
              <w:tabs>
                <w:tab w:val="left" w:pos="1635"/>
              </w:tabs>
              <w:rPr>
                <w:b/>
                <w:bCs/>
              </w:rPr>
            </w:pPr>
            <w:r w:rsidRPr="007C7F8B">
              <w:rPr>
                <w:b/>
                <w:bCs/>
              </w:rPr>
              <w:t>Employee Name: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14:paraId="65EB9485" w14:textId="2C5FBCEE" w:rsidR="00F404E7" w:rsidRPr="007C7F8B" w:rsidRDefault="00F404E7" w:rsidP="00F404E7">
            <w:pPr>
              <w:tabs>
                <w:tab w:val="left" w:pos="1635"/>
              </w:tabs>
              <w:rPr>
                <w:b/>
                <w:bCs/>
              </w:rPr>
            </w:pPr>
            <w:r w:rsidRPr="007C7F8B">
              <w:rPr>
                <w:b/>
                <w:bCs/>
              </w:rPr>
              <w:t>Signature: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14:paraId="50526019" w14:textId="775AE63B" w:rsidR="00F404E7" w:rsidRPr="007C7F8B" w:rsidRDefault="00F404E7" w:rsidP="00F404E7">
            <w:pPr>
              <w:tabs>
                <w:tab w:val="left" w:pos="1635"/>
              </w:tabs>
              <w:rPr>
                <w:b/>
                <w:bCs/>
              </w:rPr>
            </w:pPr>
            <w:r w:rsidRPr="007C7F8B">
              <w:rPr>
                <w:b/>
                <w:bCs/>
              </w:rPr>
              <w:t>Date:</w:t>
            </w:r>
          </w:p>
        </w:tc>
      </w:tr>
      <w:tr w:rsidR="00F404E7" w14:paraId="1F19C363" w14:textId="77777777" w:rsidTr="00EB182B">
        <w:trPr>
          <w:trHeight w:val="292"/>
        </w:trPr>
        <w:tc>
          <w:tcPr>
            <w:tcW w:w="3434" w:type="dxa"/>
            <w:gridSpan w:val="2"/>
          </w:tcPr>
          <w:p w14:paraId="1905051D" w14:textId="77777777" w:rsidR="00F404E7" w:rsidRDefault="00F404E7" w:rsidP="00F404E7">
            <w:pPr>
              <w:tabs>
                <w:tab w:val="left" w:pos="1635"/>
              </w:tabs>
            </w:pPr>
          </w:p>
        </w:tc>
        <w:tc>
          <w:tcPr>
            <w:tcW w:w="3434" w:type="dxa"/>
          </w:tcPr>
          <w:p w14:paraId="70A1F8F5" w14:textId="77777777" w:rsidR="00F404E7" w:rsidRDefault="00F404E7" w:rsidP="00F404E7">
            <w:pPr>
              <w:tabs>
                <w:tab w:val="left" w:pos="1635"/>
              </w:tabs>
            </w:pPr>
          </w:p>
        </w:tc>
        <w:tc>
          <w:tcPr>
            <w:tcW w:w="3434" w:type="dxa"/>
          </w:tcPr>
          <w:p w14:paraId="1D63F77A" w14:textId="67789BFC" w:rsidR="00F404E7" w:rsidRDefault="00F404E7" w:rsidP="00F404E7">
            <w:pPr>
              <w:tabs>
                <w:tab w:val="left" w:pos="1635"/>
              </w:tabs>
            </w:pPr>
          </w:p>
        </w:tc>
      </w:tr>
    </w:tbl>
    <w:p w14:paraId="485CA4E0" w14:textId="2A947BE1" w:rsidR="00343A09" w:rsidRPr="00343A09" w:rsidRDefault="00343A09" w:rsidP="00343A09"/>
    <w:sectPr w:rsidR="00343A09" w:rsidRPr="00343A09" w:rsidSect="00C50C54">
      <w:headerReference w:type="default" r:id="rId8"/>
      <w:headerReference w:type="first" r:id="rId9"/>
      <w:pgSz w:w="11900" w:h="16840"/>
      <w:pgMar w:top="2127" w:right="794" w:bottom="397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CDCE" w14:textId="77777777" w:rsidR="00D90A5E" w:rsidRDefault="00D90A5E" w:rsidP="00557107">
      <w:r>
        <w:separator/>
      </w:r>
    </w:p>
  </w:endnote>
  <w:endnote w:type="continuationSeparator" w:id="0">
    <w:p w14:paraId="51F06C5E" w14:textId="77777777" w:rsidR="00D90A5E" w:rsidRDefault="00D90A5E" w:rsidP="0055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5F43" w14:textId="77777777" w:rsidR="00D90A5E" w:rsidRDefault="00D90A5E" w:rsidP="00557107">
      <w:r>
        <w:separator/>
      </w:r>
    </w:p>
  </w:footnote>
  <w:footnote w:type="continuationSeparator" w:id="0">
    <w:p w14:paraId="276A63C5" w14:textId="77777777" w:rsidR="00D90A5E" w:rsidRDefault="00D90A5E" w:rsidP="0055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CE4A" w14:textId="77777777" w:rsidR="00557107" w:rsidRDefault="0055710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2C5160EE" wp14:editId="001716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0950" cy="107569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 Continuation 2017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400" cy="10756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04D5" w14:textId="77777777" w:rsidR="00557107" w:rsidRDefault="00EE354B">
    <w:pPr>
      <w:pStyle w:val="Header"/>
    </w:pPr>
    <w:r>
      <w:rPr>
        <w:rFonts w:ascii="Open Sans" w:hAnsi="Open Sans"/>
        <w:noProof/>
        <w:color w:val="000000"/>
        <w:sz w:val="21"/>
        <w:szCs w:val="21"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B8E1841" wp14:editId="0814B9D7">
              <wp:simplePos x="0" y="0"/>
              <wp:positionH relativeFrom="page">
                <wp:posOffset>-59690</wp:posOffset>
              </wp:positionH>
              <wp:positionV relativeFrom="page">
                <wp:posOffset>9603740</wp:posOffset>
              </wp:positionV>
              <wp:extent cx="7638415" cy="1104900"/>
              <wp:effectExtent l="0" t="0" r="0" b="12700"/>
              <wp:wrapThrough wrapText="bothSides">
                <wp:wrapPolygon edited="0">
                  <wp:start x="72" y="0"/>
                  <wp:lineTo x="72" y="21352"/>
                  <wp:lineTo x="21404" y="21352"/>
                  <wp:lineTo x="21404" y="0"/>
                  <wp:lineTo x="72" y="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841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C967F" id="Rectangle 3" o:spid="_x0000_s1026" style="position:absolute;margin-left:-4.7pt;margin-top:756.2pt;width:601.45pt;height:87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" filled="f" stroked="f" strokeweight="1pt">
              <w10:wrap type="through" anchorx="page" anchory="page"/>
              <w10:anchorlock/>
            </v:rect>
          </w:pict>
        </mc:Fallback>
      </mc:AlternateContent>
    </w:r>
    <w:r w:rsidR="00557107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4D67F96F" wp14:editId="54CAF738">
          <wp:simplePos x="0" y="0"/>
          <wp:positionH relativeFrom="page">
            <wp:posOffset>6350</wp:posOffset>
          </wp:positionH>
          <wp:positionV relativeFrom="page">
            <wp:posOffset>8890</wp:posOffset>
          </wp:positionV>
          <wp:extent cx="7588250" cy="1073785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 Lhead A4 PIC Sites 2017 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A0471"/>
    <w:multiLevelType w:val="hybridMultilevel"/>
    <w:tmpl w:val="1EA4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760C7"/>
    <w:multiLevelType w:val="hybridMultilevel"/>
    <w:tmpl w:val="1D5A5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628F6"/>
    <w:multiLevelType w:val="hybridMultilevel"/>
    <w:tmpl w:val="54CEE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4364B"/>
    <w:multiLevelType w:val="hybridMultilevel"/>
    <w:tmpl w:val="532E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471538">
    <w:abstractNumId w:val="2"/>
  </w:num>
  <w:num w:numId="2" w16cid:durableId="205677251">
    <w:abstractNumId w:val="1"/>
  </w:num>
  <w:num w:numId="3" w16cid:durableId="83115590">
    <w:abstractNumId w:val="0"/>
  </w:num>
  <w:num w:numId="4" w16cid:durableId="134119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07"/>
    <w:rsid w:val="000239E4"/>
    <w:rsid w:val="000365C6"/>
    <w:rsid w:val="000460CD"/>
    <w:rsid w:val="00082D5D"/>
    <w:rsid w:val="000A5F91"/>
    <w:rsid w:val="000B3AA4"/>
    <w:rsid w:val="000B4373"/>
    <w:rsid w:val="000B6563"/>
    <w:rsid w:val="001B2427"/>
    <w:rsid w:val="002209A7"/>
    <w:rsid w:val="00235ECA"/>
    <w:rsid w:val="00295F42"/>
    <w:rsid w:val="002D674E"/>
    <w:rsid w:val="002E2D42"/>
    <w:rsid w:val="00303A7D"/>
    <w:rsid w:val="00315C77"/>
    <w:rsid w:val="00343A09"/>
    <w:rsid w:val="00374EEF"/>
    <w:rsid w:val="003900A8"/>
    <w:rsid w:val="003979F2"/>
    <w:rsid w:val="003D3C4C"/>
    <w:rsid w:val="003F731F"/>
    <w:rsid w:val="00420422"/>
    <w:rsid w:val="00442F3A"/>
    <w:rsid w:val="00445B61"/>
    <w:rsid w:val="004C1328"/>
    <w:rsid w:val="004D462E"/>
    <w:rsid w:val="00557107"/>
    <w:rsid w:val="00561E36"/>
    <w:rsid w:val="00566828"/>
    <w:rsid w:val="0058093B"/>
    <w:rsid w:val="005A42E9"/>
    <w:rsid w:val="005C401E"/>
    <w:rsid w:val="005D3491"/>
    <w:rsid w:val="006952B7"/>
    <w:rsid w:val="006A4A74"/>
    <w:rsid w:val="006C1F30"/>
    <w:rsid w:val="006D47B6"/>
    <w:rsid w:val="006D4DC6"/>
    <w:rsid w:val="006E1B35"/>
    <w:rsid w:val="007319F3"/>
    <w:rsid w:val="0075338F"/>
    <w:rsid w:val="0077124A"/>
    <w:rsid w:val="00773732"/>
    <w:rsid w:val="007835D1"/>
    <w:rsid w:val="007C7F8B"/>
    <w:rsid w:val="007F6B77"/>
    <w:rsid w:val="0089142D"/>
    <w:rsid w:val="00893543"/>
    <w:rsid w:val="009350CF"/>
    <w:rsid w:val="009537E2"/>
    <w:rsid w:val="00966206"/>
    <w:rsid w:val="009A27D9"/>
    <w:rsid w:val="00A40901"/>
    <w:rsid w:val="00AE73F8"/>
    <w:rsid w:val="00AF3D88"/>
    <w:rsid w:val="00B0173C"/>
    <w:rsid w:val="00B57CB2"/>
    <w:rsid w:val="00B7147B"/>
    <w:rsid w:val="00B72FC0"/>
    <w:rsid w:val="00B91A6E"/>
    <w:rsid w:val="00BA1254"/>
    <w:rsid w:val="00BB5345"/>
    <w:rsid w:val="00BD4DF2"/>
    <w:rsid w:val="00BF1FC6"/>
    <w:rsid w:val="00BF2850"/>
    <w:rsid w:val="00C01360"/>
    <w:rsid w:val="00C33091"/>
    <w:rsid w:val="00C50C54"/>
    <w:rsid w:val="00C57B8A"/>
    <w:rsid w:val="00C95ADF"/>
    <w:rsid w:val="00CC68C8"/>
    <w:rsid w:val="00CF4FAB"/>
    <w:rsid w:val="00D67374"/>
    <w:rsid w:val="00D90A5E"/>
    <w:rsid w:val="00DA6E88"/>
    <w:rsid w:val="00DF3818"/>
    <w:rsid w:val="00E203D8"/>
    <w:rsid w:val="00E67C0D"/>
    <w:rsid w:val="00E735A6"/>
    <w:rsid w:val="00E752AC"/>
    <w:rsid w:val="00E810DF"/>
    <w:rsid w:val="00EA6DAE"/>
    <w:rsid w:val="00EA7A99"/>
    <w:rsid w:val="00EB1AA9"/>
    <w:rsid w:val="00EC3913"/>
    <w:rsid w:val="00EE354B"/>
    <w:rsid w:val="00F02DE5"/>
    <w:rsid w:val="00F404E7"/>
    <w:rsid w:val="00F47C76"/>
    <w:rsid w:val="00F54064"/>
    <w:rsid w:val="00F5736D"/>
    <w:rsid w:val="00F978B7"/>
    <w:rsid w:val="00FA0DBF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E8B345"/>
  <w14:defaultImageDpi w14:val="32767"/>
  <w15:docId w15:val="{359DA2F5-968A-4021-A68A-216C5C8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07"/>
  </w:style>
  <w:style w:type="paragraph" w:styleId="Footer">
    <w:name w:val="footer"/>
    <w:basedOn w:val="Normal"/>
    <w:link w:val="FooterChar"/>
    <w:uiPriority w:val="99"/>
    <w:unhideWhenUsed/>
    <w:rsid w:val="00557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07"/>
  </w:style>
  <w:style w:type="paragraph" w:styleId="NormalWeb">
    <w:name w:val="Normal (Web)"/>
    <w:basedOn w:val="Normal"/>
    <w:uiPriority w:val="99"/>
    <w:unhideWhenUsed/>
    <w:rsid w:val="00557107"/>
    <w:pPr>
      <w:spacing w:before="100" w:beforeAutospacing="1" w:after="100" w:afterAutospacing="1"/>
    </w:pPr>
    <w:rPr>
      <w:rFonts w:ascii="Times" w:hAnsi="Times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50C54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0C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C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73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243D-C1C2-415C-A80D-48529B4E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McLean</dc:creator>
  <cp:keywords/>
  <dc:description/>
  <cp:lastModifiedBy>Alice Hardy</cp:lastModifiedBy>
  <cp:revision>7</cp:revision>
  <dcterms:created xsi:type="dcterms:W3CDTF">2024-06-27T10:35:00Z</dcterms:created>
  <dcterms:modified xsi:type="dcterms:W3CDTF">2024-08-22T13:34:00Z</dcterms:modified>
</cp:coreProperties>
</file>