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122D" w14:textId="03CD8EBC" w:rsidR="00D11447" w:rsidRPr="00EC5F8D" w:rsidRDefault="00A8544C" w:rsidP="00A8544C">
      <w:pPr>
        <w:rPr>
          <w:rFonts w:cstheme="minorHAnsi"/>
          <w:b/>
          <w:sz w:val="32"/>
          <w:szCs w:val="32"/>
          <w:lang w:eastAsia="en-GB"/>
        </w:rPr>
      </w:pPr>
      <w:r w:rsidRPr="00EC5F8D">
        <w:rPr>
          <w:rFonts w:cstheme="minorHAnsi"/>
          <w:b/>
          <w:sz w:val="32"/>
          <w:szCs w:val="32"/>
          <w:lang w:eastAsia="en-GB"/>
        </w:rPr>
        <w:t>Job Description for: Consultant in Child and Adolescent Psychiatry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6"/>
        <w:gridCol w:w="7070"/>
      </w:tblGrid>
      <w:tr w:rsidR="00A8544C" w:rsidRPr="00EC5F8D" w14:paraId="058689D5" w14:textId="77777777" w:rsidTr="00A8544C">
        <w:trPr>
          <w:trHeight w:val="432"/>
        </w:trPr>
        <w:tc>
          <w:tcPr>
            <w:tcW w:w="1956" w:type="dxa"/>
          </w:tcPr>
          <w:p w14:paraId="466EC269" w14:textId="77777777" w:rsidR="00A8544C" w:rsidRPr="00EC5F8D" w:rsidRDefault="00A8544C" w:rsidP="0066055F">
            <w:pPr>
              <w:pStyle w:val="Heading4"/>
              <w:rPr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GB"/>
              </w:rPr>
            </w:pPr>
            <w:r w:rsidRPr="00EC5F8D">
              <w:rPr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GB"/>
              </w:rPr>
              <w:t>Location:</w:t>
            </w:r>
          </w:p>
        </w:tc>
        <w:tc>
          <w:tcPr>
            <w:tcW w:w="7070" w:type="dxa"/>
          </w:tcPr>
          <w:p w14:paraId="22252198" w14:textId="479F9608" w:rsidR="00A8544C" w:rsidRPr="00EC5F8D" w:rsidRDefault="002C3C7A" w:rsidP="0066055F">
            <w:pPr>
              <w:pStyle w:val="Heading4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u w:val="none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u w:val="none"/>
                <w:lang w:val="en-GB"/>
              </w:rPr>
              <w:t>Brighton &amp; Hove</w:t>
            </w:r>
          </w:p>
        </w:tc>
      </w:tr>
      <w:tr w:rsidR="00A8544C" w:rsidRPr="00EC5F8D" w14:paraId="1D2A7326" w14:textId="77777777" w:rsidTr="00A8544C">
        <w:trPr>
          <w:trHeight w:val="432"/>
        </w:trPr>
        <w:tc>
          <w:tcPr>
            <w:tcW w:w="1956" w:type="dxa"/>
          </w:tcPr>
          <w:p w14:paraId="15625A0B" w14:textId="77777777" w:rsidR="00A8544C" w:rsidRPr="00EC5F8D" w:rsidRDefault="00A8544C" w:rsidP="0066055F">
            <w:pPr>
              <w:pStyle w:val="Heading4"/>
              <w:rPr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GB"/>
              </w:rPr>
            </w:pPr>
            <w:r w:rsidRPr="00EC5F8D">
              <w:rPr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GB"/>
              </w:rPr>
              <w:t>Reports to:</w:t>
            </w:r>
          </w:p>
        </w:tc>
        <w:tc>
          <w:tcPr>
            <w:tcW w:w="7070" w:type="dxa"/>
          </w:tcPr>
          <w:p w14:paraId="79250B2B" w14:textId="68FAEC91" w:rsidR="00A8544C" w:rsidRPr="00EC5F8D" w:rsidRDefault="00A8544C" w:rsidP="00A8544C">
            <w:pPr>
              <w:pStyle w:val="Heading4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u w:val="none"/>
                <w:lang w:val="en-GB"/>
              </w:rPr>
            </w:pPr>
            <w:r w:rsidRPr="00EC5F8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u w:val="none"/>
                <w:lang w:val="en-GB"/>
              </w:rPr>
              <w:t xml:space="preserve">Medical Director and Hospital Director </w:t>
            </w:r>
          </w:p>
        </w:tc>
      </w:tr>
    </w:tbl>
    <w:p w14:paraId="176B5F46" w14:textId="77777777" w:rsidR="00A8544C" w:rsidRPr="00EC5F8D" w:rsidRDefault="00A8544C" w:rsidP="00A8544C">
      <w:pPr>
        <w:rPr>
          <w:rFonts w:cstheme="minorHAnsi"/>
        </w:rPr>
      </w:pPr>
    </w:p>
    <w:p w14:paraId="49BD4DC0" w14:textId="6F8AE918" w:rsidR="00792644" w:rsidRPr="00EC5F8D" w:rsidRDefault="0012587D" w:rsidP="00744D6B">
      <w:pPr>
        <w:jc w:val="both"/>
        <w:rPr>
          <w:rFonts w:cstheme="minorHAnsi"/>
        </w:rPr>
      </w:pPr>
      <w:r>
        <w:rPr>
          <w:rFonts w:cstheme="minorHAnsi"/>
        </w:rPr>
        <w:t>The allocated candidate</w:t>
      </w:r>
      <w:r w:rsidR="00792644" w:rsidRPr="00EC5F8D">
        <w:rPr>
          <w:rFonts w:cstheme="minorHAnsi"/>
        </w:rPr>
        <w:t xml:space="preserve"> </w:t>
      </w:r>
      <w:r>
        <w:rPr>
          <w:rFonts w:cstheme="minorHAnsi"/>
        </w:rPr>
        <w:t xml:space="preserve">will </w:t>
      </w:r>
      <w:r w:rsidR="00792644" w:rsidRPr="00EC5F8D">
        <w:rPr>
          <w:rFonts w:cstheme="minorHAnsi"/>
        </w:rPr>
        <w:t xml:space="preserve">join supportive and experience team to provide child and </w:t>
      </w:r>
      <w:r w:rsidR="002C3C7A">
        <w:rPr>
          <w:rFonts w:cstheme="minorHAnsi"/>
        </w:rPr>
        <w:t xml:space="preserve">young people inpatient </w:t>
      </w:r>
      <w:r w:rsidR="00792644" w:rsidRPr="00EC5F8D">
        <w:rPr>
          <w:rFonts w:cstheme="minorHAnsi"/>
        </w:rPr>
        <w:t>s</w:t>
      </w:r>
      <w:r w:rsidR="00E54BD2" w:rsidRPr="00EC5F8D">
        <w:rPr>
          <w:rFonts w:cstheme="minorHAnsi"/>
        </w:rPr>
        <w:t>ervices for young</w:t>
      </w:r>
      <w:r w:rsidR="005118D5" w:rsidRPr="00EC5F8D">
        <w:rPr>
          <w:rFonts w:cstheme="minorHAnsi"/>
        </w:rPr>
        <w:t xml:space="preserve"> people aged </w:t>
      </w:r>
      <w:r w:rsidR="00F6295A">
        <w:rPr>
          <w:rFonts w:cstheme="minorHAnsi"/>
        </w:rPr>
        <w:t>12</w:t>
      </w:r>
      <w:r w:rsidR="00792644" w:rsidRPr="00EC5F8D">
        <w:rPr>
          <w:rFonts w:cstheme="minorHAnsi"/>
        </w:rPr>
        <w:t xml:space="preserve"> to 18 with </w:t>
      </w:r>
      <w:proofErr w:type="gramStart"/>
      <w:r w:rsidR="00E54BD2" w:rsidRPr="00EC5F8D">
        <w:rPr>
          <w:rFonts w:cstheme="minorHAnsi"/>
        </w:rPr>
        <w:t>Eating Disorder</w:t>
      </w:r>
      <w:proofErr w:type="gramEnd"/>
      <w:r w:rsidR="00792644" w:rsidRPr="00EC5F8D">
        <w:rPr>
          <w:rFonts w:cstheme="minorHAnsi"/>
        </w:rPr>
        <w:t xml:space="preserve">. </w:t>
      </w:r>
      <w:r w:rsidR="002C3C7A">
        <w:rPr>
          <w:rFonts w:cstheme="minorHAnsi"/>
        </w:rPr>
        <w:t>The consultant</w:t>
      </w:r>
      <w:r w:rsidR="00792644" w:rsidRPr="00EC5F8D">
        <w:rPr>
          <w:rFonts w:cstheme="minorHAnsi"/>
        </w:rPr>
        <w:t xml:space="preserve"> will be working in a service that provides evidence based and focused treatment programmes designed for the individual needs of each young person</w:t>
      </w:r>
      <w:r w:rsidR="00E54BD2" w:rsidRPr="00EC5F8D">
        <w:rPr>
          <w:rFonts w:cstheme="minorHAnsi"/>
        </w:rPr>
        <w:t>.</w:t>
      </w:r>
    </w:p>
    <w:p w14:paraId="4308B700" w14:textId="058E3A3C" w:rsidR="00792644" w:rsidRPr="00EC5F8D" w:rsidRDefault="0012587D" w:rsidP="00744D6B">
      <w:pPr>
        <w:jc w:val="both"/>
        <w:rPr>
          <w:rFonts w:cstheme="minorHAnsi"/>
        </w:rPr>
      </w:pPr>
      <w:r>
        <w:rPr>
          <w:rFonts w:cstheme="minorHAnsi"/>
        </w:rPr>
        <w:t>The C</w:t>
      </w:r>
      <w:r w:rsidR="002C3C7A">
        <w:rPr>
          <w:rFonts w:cstheme="minorHAnsi"/>
        </w:rPr>
        <w:t>YP</w:t>
      </w:r>
      <w:r>
        <w:rPr>
          <w:rFonts w:cstheme="minorHAnsi"/>
        </w:rPr>
        <w:t>MHS consultant</w:t>
      </w:r>
      <w:r w:rsidR="00792644" w:rsidRPr="00EC5F8D">
        <w:rPr>
          <w:rFonts w:cstheme="minorHAnsi"/>
        </w:rPr>
        <w:t xml:space="preserve"> </w:t>
      </w:r>
      <w:r w:rsidR="002C3C7A">
        <w:rPr>
          <w:rFonts w:cstheme="minorHAnsi"/>
        </w:rPr>
        <w:t>needs to</w:t>
      </w:r>
      <w:r w:rsidR="00792644" w:rsidRPr="00EC5F8D">
        <w:rPr>
          <w:rFonts w:cstheme="minorHAnsi"/>
        </w:rPr>
        <w:t xml:space="preserve"> be registered on the Specialist Register for Child and Adolescent Psychiatry with a license to practice with experience of C</w:t>
      </w:r>
      <w:r w:rsidR="002C3C7A">
        <w:rPr>
          <w:rFonts w:cstheme="minorHAnsi"/>
        </w:rPr>
        <w:t>YP</w:t>
      </w:r>
      <w:r w:rsidR="00792644" w:rsidRPr="00EC5F8D">
        <w:rPr>
          <w:rFonts w:cstheme="minorHAnsi"/>
        </w:rPr>
        <w:t>MHs and leading multidisciplinary teams.</w:t>
      </w:r>
    </w:p>
    <w:p w14:paraId="1E63E3F3" w14:textId="4AB5980D" w:rsidR="00792644" w:rsidRPr="00EC5F8D" w:rsidRDefault="0012587D" w:rsidP="00744D6B">
      <w:pPr>
        <w:jc w:val="both"/>
        <w:rPr>
          <w:rFonts w:cstheme="minorHAnsi"/>
        </w:rPr>
      </w:pPr>
      <w:r>
        <w:rPr>
          <w:rFonts w:cstheme="minorHAnsi"/>
        </w:rPr>
        <w:t>The consultant</w:t>
      </w:r>
      <w:r w:rsidR="00792644" w:rsidRPr="00EC5F8D">
        <w:rPr>
          <w:rFonts w:cstheme="minorHAnsi"/>
        </w:rPr>
        <w:t xml:space="preserve"> </w:t>
      </w:r>
      <w:r w:rsidR="002C3C7A">
        <w:rPr>
          <w:rFonts w:cstheme="minorHAnsi"/>
        </w:rPr>
        <w:t xml:space="preserve">will </w:t>
      </w:r>
      <w:r w:rsidR="00792644" w:rsidRPr="00EC5F8D">
        <w:rPr>
          <w:rFonts w:cstheme="minorHAnsi"/>
        </w:rPr>
        <w:t>have instant access to a large and supportive peer group of like-minded professionals to engage and network with.</w:t>
      </w:r>
    </w:p>
    <w:p w14:paraId="46FF23F9" w14:textId="786B3BD0" w:rsidR="00A8544C" w:rsidRDefault="00792644" w:rsidP="00744D6B">
      <w:pPr>
        <w:jc w:val="both"/>
        <w:rPr>
          <w:rFonts w:cstheme="minorHAnsi"/>
        </w:rPr>
      </w:pPr>
      <w:r w:rsidRPr="00EC5F8D">
        <w:rPr>
          <w:rFonts w:cstheme="minorHAnsi"/>
        </w:rPr>
        <w:t xml:space="preserve">There is an on-call element to this role (currently 1 in 6) and covers </w:t>
      </w:r>
      <w:r w:rsidR="002C3C7A">
        <w:rPr>
          <w:rFonts w:cstheme="minorHAnsi"/>
        </w:rPr>
        <w:t>all services in the CYPMH/ED region</w:t>
      </w:r>
      <w:r w:rsidR="00F6295A">
        <w:rPr>
          <w:rFonts w:cstheme="minorHAnsi"/>
        </w:rPr>
        <w:t>.</w:t>
      </w:r>
    </w:p>
    <w:p w14:paraId="6BE724B1" w14:textId="77777777" w:rsidR="00744D6B" w:rsidRPr="00F6295A" w:rsidRDefault="00744D6B" w:rsidP="00744D6B">
      <w:pPr>
        <w:jc w:val="both"/>
        <w:rPr>
          <w:rFonts w:cstheme="minorHAnsi"/>
        </w:rPr>
      </w:pPr>
    </w:p>
    <w:p w14:paraId="0FBDACA4" w14:textId="3D14B49A" w:rsidR="00A8544C" w:rsidRPr="000A01F2" w:rsidRDefault="00A8544C" w:rsidP="00EC5F8D">
      <w:pPr>
        <w:jc w:val="both"/>
        <w:rPr>
          <w:rFonts w:cs="Arial"/>
        </w:rPr>
      </w:pPr>
      <w:r w:rsidRPr="00082F6A">
        <w:rPr>
          <w:rFonts w:cs="Arial"/>
          <w:b/>
          <w:bCs/>
        </w:rPr>
        <w:t>MAIN RESPONSIBILITIES</w:t>
      </w:r>
    </w:p>
    <w:p w14:paraId="01D99796" w14:textId="77777777" w:rsidR="00EC5F8D" w:rsidRPr="00EC5F8D" w:rsidRDefault="00EC5F8D" w:rsidP="0012587D">
      <w:pPr>
        <w:pStyle w:val="ListParagraph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Review referrals and determine appropriateness for admission</w:t>
      </w:r>
    </w:p>
    <w:p w14:paraId="6EC33811" w14:textId="7F0F2439" w:rsidR="00A8544C" w:rsidRPr="00EC5F8D" w:rsidRDefault="00EC5F8D" w:rsidP="0012587D">
      <w:pPr>
        <w:pStyle w:val="ListParagraph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Conduct Admission assessment and ensure effective management plans</w:t>
      </w:r>
    </w:p>
    <w:p w14:paraId="7A94B869" w14:textId="4D28C0BC" w:rsidR="00A8544C" w:rsidRPr="00EC5F8D" w:rsidRDefault="00A8544C" w:rsidP="0012587D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To participate in the assessment and management of children and young people referred to the Service</w:t>
      </w:r>
    </w:p>
    <w:p w14:paraId="4B34ED85" w14:textId="3661D71C" w:rsidR="00EC5F8D" w:rsidRPr="00EC5F8D" w:rsidRDefault="00EC5F8D" w:rsidP="0012587D">
      <w:pPr>
        <w:pStyle w:val="ListParagraph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To conduct risk assessment and review regularly</w:t>
      </w:r>
    </w:p>
    <w:p w14:paraId="3673941F" w14:textId="70B3280D" w:rsidR="00A8544C" w:rsidRPr="00EC5F8D" w:rsidRDefault="00EC5F8D" w:rsidP="0012587D">
      <w:pPr>
        <w:pStyle w:val="ListParagraph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 xml:space="preserve">To assess physical health </w:t>
      </w:r>
    </w:p>
    <w:p w14:paraId="0BAD7E16" w14:textId="27791421" w:rsidR="00A8544C" w:rsidRPr="00EC5F8D" w:rsidRDefault="00A8544C" w:rsidP="0012587D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To provide leadership, supervision, reflection, and risk management to the key workers on the team</w:t>
      </w:r>
    </w:p>
    <w:p w14:paraId="111DB441" w14:textId="50DC99ED" w:rsidR="00A8544C" w:rsidRPr="00EC5F8D" w:rsidRDefault="00A8544C" w:rsidP="0012587D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To abide by, and contribute to, the governance arrangements and processes of the service. This includes providing a culturally competent practice, appropriate record keeping, and discharging duties under the safeguarding children agenda.</w:t>
      </w:r>
    </w:p>
    <w:p w14:paraId="72A39479" w14:textId="7A926642" w:rsidR="00A8544C" w:rsidRPr="00EC5F8D" w:rsidRDefault="00A8544C" w:rsidP="0012587D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 xml:space="preserve">To supervise non-training grade doctors and psychiatric trainees allocated to the teams. </w:t>
      </w:r>
    </w:p>
    <w:p w14:paraId="42C07714" w14:textId="3980A3C3" w:rsidR="00A8544C" w:rsidRPr="00EC5F8D" w:rsidRDefault="00A8544C" w:rsidP="0012587D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 xml:space="preserve">To enact cross cover arrangements for annual, study and professional leave, with the other child and adolescent psychiatrists in the department. </w:t>
      </w:r>
    </w:p>
    <w:p w14:paraId="145FFD37" w14:textId="37B54404" w:rsidR="00A8544C" w:rsidRPr="00EC5F8D" w:rsidRDefault="00A8544C" w:rsidP="0012587D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Participation in the C</w:t>
      </w:r>
      <w:r w:rsidR="006F1351">
        <w:rPr>
          <w:rFonts w:cstheme="minorHAnsi"/>
        </w:rPr>
        <w:t>YPM</w:t>
      </w:r>
      <w:r w:rsidRPr="00EC5F8D">
        <w:rPr>
          <w:rFonts w:cstheme="minorHAnsi"/>
        </w:rPr>
        <w:t xml:space="preserve">HS Consultant on-call duty rota. </w:t>
      </w:r>
    </w:p>
    <w:p w14:paraId="3035EEB1" w14:textId="166F9DE1" w:rsidR="00A8544C" w:rsidRPr="00EC5F8D" w:rsidRDefault="00A8544C" w:rsidP="0012587D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C5F8D">
        <w:rPr>
          <w:rFonts w:cstheme="minorHAnsi"/>
        </w:rPr>
        <w:t>To participate in Continuing Professional Development (CPD) as approved by the Royal College of Psychiatrists</w:t>
      </w:r>
    </w:p>
    <w:p w14:paraId="0AC8561F" w14:textId="55652C6F" w:rsidR="00A8544C" w:rsidRPr="00EC5F8D" w:rsidRDefault="00A8544C" w:rsidP="0012587D">
      <w:pPr>
        <w:pStyle w:val="BodyText"/>
        <w:numPr>
          <w:ilvl w:val="0"/>
          <w:numId w:val="7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EC5F8D">
        <w:rPr>
          <w:rFonts w:asciiTheme="minorHAnsi" w:hAnsiTheme="minorHAnsi" w:cstheme="minorHAnsi"/>
          <w:color w:val="auto"/>
          <w:sz w:val="22"/>
          <w:szCs w:val="22"/>
        </w:rPr>
        <w:t>An interest in research and a willingness to supervise trainees will be encouraged.</w:t>
      </w:r>
    </w:p>
    <w:p w14:paraId="0A9AB5FE" w14:textId="0BE1E8AC" w:rsidR="00A8544C" w:rsidRPr="00EC5F8D" w:rsidRDefault="00A8544C" w:rsidP="0012587D">
      <w:pPr>
        <w:pStyle w:val="BodyText"/>
        <w:numPr>
          <w:ilvl w:val="0"/>
          <w:numId w:val="7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EC5F8D">
        <w:rPr>
          <w:rFonts w:asciiTheme="minorHAnsi" w:hAnsiTheme="minorHAnsi" w:cstheme="minorHAnsi"/>
          <w:color w:val="auto"/>
          <w:sz w:val="22"/>
          <w:szCs w:val="22"/>
        </w:rPr>
        <w:t>To establish effective working relationships with GPs, C</w:t>
      </w:r>
      <w:r w:rsidR="006F1351">
        <w:rPr>
          <w:rFonts w:asciiTheme="minorHAnsi" w:hAnsiTheme="minorHAnsi" w:cstheme="minorHAnsi"/>
          <w:color w:val="auto"/>
          <w:sz w:val="22"/>
          <w:szCs w:val="22"/>
        </w:rPr>
        <w:t>YP</w:t>
      </w:r>
      <w:r w:rsidRPr="00EC5F8D">
        <w:rPr>
          <w:rFonts w:asciiTheme="minorHAnsi" w:hAnsiTheme="minorHAnsi" w:cstheme="minorHAnsi"/>
          <w:color w:val="auto"/>
          <w:sz w:val="22"/>
          <w:szCs w:val="22"/>
        </w:rPr>
        <w:t>MHS community teams, specialists and commissioners.</w:t>
      </w:r>
    </w:p>
    <w:p w14:paraId="1D773679" w14:textId="28390267" w:rsidR="00A8544C" w:rsidRPr="00EC5F8D" w:rsidRDefault="00A8544C" w:rsidP="00EC5F8D">
      <w:pPr>
        <w:pStyle w:val="BodyText"/>
        <w:numPr>
          <w:ilvl w:val="0"/>
          <w:numId w:val="7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EC5F8D">
        <w:rPr>
          <w:rFonts w:asciiTheme="minorHAnsi" w:hAnsiTheme="minorHAnsi" w:cstheme="minorHAnsi"/>
          <w:color w:val="auto"/>
          <w:sz w:val="22"/>
          <w:szCs w:val="22"/>
        </w:rPr>
        <w:t>To uphold the principles of Clinical Governance and adhere to the organisation’s clinical governance requirements.</w:t>
      </w:r>
    </w:p>
    <w:p w14:paraId="7BC49432" w14:textId="2201F413" w:rsidR="00A8544C" w:rsidRPr="00EC5F8D" w:rsidRDefault="00A8544C" w:rsidP="00EC5F8D">
      <w:pPr>
        <w:pStyle w:val="BodyText"/>
        <w:numPr>
          <w:ilvl w:val="0"/>
          <w:numId w:val="7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EC5F8D">
        <w:rPr>
          <w:rFonts w:asciiTheme="minorHAnsi" w:hAnsiTheme="minorHAnsi" w:cstheme="minorHAnsi"/>
          <w:color w:val="auto"/>
          <w:sz w:val="22"/>
          <w:szCs w:val="22"/>
        </w:rPr>
        <w:t>To take part in an Annual Appraisal Programme, with the development of Personal Development Plans, focused on Continuing Professional Development.</w:t>
      </w:r>
    </w:p>
    <w:p w14:paraId="3F76393A" w14:textId="77777777" w:rsidR="00A8544C" w:rsidRPr="00EC5F8D" w:rsidRDefault="00A8544C" w:rsidP="00EC5F8D">
      <w:pPr>
        <w:pStyle w:val="BodyText"/>
        <w:numPr>
          <w:ilvl w:val="0"/>
          <w:numId w:val="7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EC5F8D">
        <w:rPr>
          <w:rFonts w:asciiTheme="minorHAnsi" w:hAnsiTheme="minorHAnsi" w:cstheme="minorHAnsi"/>
          <w:color w:val="auto"/>
          <w:sz w:val="22"/>
          <w:szCs w:val="22"/>
        </w:rPr>
        <w:t>To adhere to all the organisations policies and procedures.</w:t>
      </w:r>
    </w:p>
    <w:p w14:paraId="78F1EC5D" w14:textId="77777777" w:rsidR="00744D6B" w:rsidRDefault="00744D6B" w:rsidP="00A8544C">
      <w:pPr>
        <w:rPr>
          <w:rFonts w:cstheme="minorHAnsi"/>
          <w:b/>
          <w:bCs/>
        </w:rPr>
      </w:pPr>
    </w:p>
    <w:p w14:paraId="176A88D5" w14:textId="77777777" w:rsidR="00744D6B" w:rsidRDefault="00744D6B" w:rsidP="00A8544C">
      <w:pPr>
        <w:rPr>
          <w:rFonts w:cstheme="minorHAnsi"/>
          <w:b/>
          <w:bCs/>
        </w:rPr>
      </w:pPr>
    </w:p>
    <w:p w14:paraId="292528A0" w14:textId="7405A3D1" w:rsidR="00792644" w:rsidRPr="00792644" w:rsidRDefault="00A8544C" w:rsidP="00A8544C">
      <w:pPr>
        <w:rPr>
          <w:b/>
          <w:bCs/>
        </w:rPr>
      </w:pPr>
      <w:r>
        <w:rPr>
          <w:b/>
          <w:bCs/>
        </w:rPr>
        <w:lastRenderedPageBreak/>
        <w:t>Y</w:t>
      </w:r>
      <w:r w:rsidR="00792644" w:rsidRPr="00792644">
        <w:rPr>
          <w:b/>
          <w:bCs/>
        </w:rPr>
        <w:t>ou'll need:</w:t>
      </w:r>
    </w:p>
    <w:p w14:paraId="02E0ECAF" w14:textId="77777777" w:rsidR="00792644" w:rsidRDefault="00792644" w:rsidP="00792644">
      <w:pPr>
        <w:pStyle w:val="ListParagraph"/>
        <w:numPr>
          <w:ilvl w:val="0"/>
          <w:numId w:val="5"/>
        </w:numPr>
      </w:pPr>
      <w:r>
        <w:t>Registered on the GMC Specialist Register for Child and Adolescent Psychiatry with a licence to practise.</w:t>
      </w:r>
    </w:p>
    <w:p w14:paraId="09E4A3CF" w14:textId="11670695" w:rsidR="00792644" w:rsidRDefault="00792644" w:rsidP="00A8544C">
      <w:pPr>
        <w:pStyle w:val="ListParagraph"/>
        <w:numPr>
          <w:ilvl w:val="0"/>
          <w:numId w:val="5"/>
        </w:numPr>
      </w:pPr>
      <w:r>
        <w:t>Experience of C</w:t>
      </w:r>
      <w:r w:rsidR="006F1351">
        <w:t>YP</w:t>
      </w:r>
      <w:r>
        <w:t xml:space="preserve">MHS Eating Disorders </w:t>
      </w:r>
    </w:p>
    <w:p w14:paraId="1D0920E0" w14:textId="77777777" w:rsidR="00792644" w:rsidRDefault="00792644" w:rsidP="00792644"/>
    <w:p w14:paraId="4675FBF9" w14:textId="7B03E22C" w:rsidR="00792644" w:rsidRPr="00EC5F8D" w:rsidRDefault="00792644" w:rsidP="00EC5F8D">
      <w:pPr>
        <w:rPr>
          <w:b/>
          <w:bCs/>
        </w:rPr>
      </w:pPr>
      <w:r w:rsidRPr="00792644">
        <w:rPr>
          <w:b/>
          <w:bCs/>
        </w:rPr>
        <w:t>About your next employer</w:t>
      </w:r>
    </w:p>
    <w:p w14:paraId="37505B53" w14:textId="14CEE6F2" w:rsidR="00792644" w:rsidRDefault="00792644" w:rsidP="00EC5F8D">
      <w:r>
        <w:t>You will have the opportunity for regular career development</w:t>
      </w:r>
      <w:r w:rsidR="00EC5F8D">
        <w:t>. You will</w:t>
      </w:r>
      <w:r>
        <w:t xml:space="preserve"> have access to excellent CPD, plus access to a large peer group of enthusiastic and high-calibre consultants.</w:t>
      </w:r>
    </w:p>
    <w:p w14:paraId="566B68E4" w14:textId="4A6F72E5" w:rsidR="00792644" w:rsidRDefault="00792644" w:rsidP="00792644">
      <w:r>
        <w:t xml:space="preserve"> You will be working for an established, stable and agile company with a unique approach to the delivery of care. With a network of over 70 services across England and Wales, providing four services including: Mental Health, Neurological, Learning Disabilities &amp; Autism, Children &amp; Education, there is an opportunity for you to grow and move with Elysium.</w:t>
      </w:r>
    </w:p>
    <w:p w14:paraId="143C9440" w14:textId="607E8F21" w:rsidR="00D179D9" w:rsidRDefault="00792644" w:rsidP="00EC5F8D">
      <w:r>
        <w:t xml:space="preserve"> Candidates will be subject to an Enhanced DBS disclosure.</w:t>
      </w:r>
    </w:p>
    <w:sectPr w:rsidR="00D17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E30"/>
    <w:multiLevelType w:val="hybridMultilevel"/>
    <w:tmpl w:val="0B78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625"/>
    <w:multiLevelType w:val="hybridMultilevel"/>
    <w:tmpl w:val="0DB67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A39ED"/>
    <w:multiLevelType w:val="hybridMultilevel"/>
    <w:tmpl w:val="BB146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69E0"/>
    <w:multiLevelType w:val="hybridMultilevel"/>
    <w:tmpl w:val="FFE47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10B60"/>
    <w:multiLevelType w:val="hybridMultilevel"/>
    <w:tmpl w:val="321E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62F77"/>
    <w:multiLevelType w:val="hybridMultilevel"/>
    <w:tmpl w:val="40D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4882"/>
    <w:multiLevelType w:val="hybridMultilevel"/>
    <w:tmpl w:val="E0269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37024"/>
    <w:multiLevelType w:val="hybridMultilevel"/>
    <w:tmpl w:val="D86C6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85723">
    <w:abstractNumId w:val="6"/>
  </w:num>
  <w:num w:numId="2" w16cid:durableId="1679112856">
    <w:abstractNumId w:val="3"/>
  </w:num>
  <w:num w:numId="3" w16cid:durableId="1472282863">
    <w:abstractNumId w:val="5"/>
  </w:num>
  <w:num w:numId="4" w16cid:durableId="1895896526">
    <w:abstractNumId w:val="4"/>
  </w:num>
  <w:num w:numId="5" w16cid:durableId="1204713779">
    <w:abstractNumId w:val="7"/>
  </w:num>
  <w:num w:numId="6" w16cid:durableId="2133741287">
    <w:abstractNumId w:val="0"/>
  </w:num>
  <w:num w:numId="7" w16cid:durableId="970784971">
    <w:abstractNumId w:val="2"/>
  </w:num>
  <w:num w:numId="8" w16cid:durableId="37535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47"/>
    <w:rsid w:val="0001599A"/>
    <w:rsid w:val="0012587D"/>
    <w:rsid w:val="0028223F"/>
    <w:rsid w:val="002C3C7A"/>
    <w:rsid w:val="002F070D"/>
    <w:rsid w:val="00346FB7"/>
    <w:rsid w:val="005118D5"/>
    <w:rsid w:val="005667CC"/>
    <w:rsid w:val="006F1351"/>
    <w:rsid w:val="00727729"/>
    <w:rsid w:val="00744D6B"/>
    <w:rsid w:val="00792644"/>
    <w:rsid w:val="009F3047"/>
    <w:rsid w:val="00A8544C"/>
    <w:rsid w:val="00D11447"/>
    <w:rsid w:val="00D179D9"/>
    <w:rsid w:val="00D86BA9"/>
    <w:rsid w:val="00E03CBA"/>
    <w:rsid w:val="00E54BD2"/>
    <w:rsid w:val="00E7063B"/>
    <w:rsid w:val="00EC5F8D"/>
    <w:rsid w:val="00F532A7"/>
    <w:rsid w:val="00F6295A"/>
    <w:rsid w:val="00FC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C7D8"/>
  <w15:chartTrackingRefBased/>
  <w15:docId w15:val="{88B9452F-0153-454B-92EE-4C7469F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qFormat/>
    <w:rsid w:val="00A8544C"/>
    <w:pPr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 w:val="24"/>
      <w:szCs w:val="20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04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A8544C"/>
    <w:rPr>
      <w:rFonts w:ascii="Arial" w:eastAsia="Times New Roman" w:hAnsi="Arial" w:cs="Times New Roman"/>
      <w:b/>
      <w:color w:val="000000"/>
      <w:sz w:val="24"/>
      <w:szCs w:val="20"/>
      <w:u w:val="single"/>
      <w:lang w:val="x-none"/>
    </w:rPr>
  </w:style>
  <w:style w:type="paragraph" w:styleId="BodyText">
    <w:name w:val="Body Text"/>
    <w:basedOn w:val="Normal"/>
    <w:link w:val="BodyTextChar"/>
    <w:rsid w:val="00A8544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8544C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Bache</dc:creator>
  <cp:keywords/>
  <dc:description/>
  <cp:lastModifiedBy>Carolina Schneider</cp:lastModifiedBy>
  <cp:revision>2</cp:revision>
  <dcterms:created xsi:type="dcterms:W3CDTF">2025-11-03T11:34:00Z</dcterms:created>
  <dcterms:modified xsi:type="dcterms:W3CDTF">2025-11-03T11:34:00Z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1dc3c0-e428-4cb7-9c8f-13a9c235d836_Enabled">
    <vt:lpwstr>true</vt:lpwstr>
  </property>
  <property fmtid="{D5CDD505-2E9C-101B-9397-08002B2CF9AE}" pid="3" name="MSIP_Label_1b1dc3c0-e428-4cb7-9c8f-13a9c235d836_SetDate">
    <vt:lpwstr>2025-06-23T23:45:13Z</vt:lpwstr>
  </property>
  <property fmtid="{D5CDD505-2E9C-101B-9397-08002B2CF9AE}" pid="4" name="MSIP_Label_1b1dc3c0-e428-4cb7-9c8f-13a9c235d836_Method">
    <vt:lpwstr>Standard</vt:lpwstr>
  </property>
  <property fmtid="{D5CDD505-2E9C-101B-9397-08002B2CF9AE}" pid="5" name="MSIP_Label_1b1dc3c0-e428-4cb7-9c8f-13a9c235d836_Name">
    <vt:lpwstr>Business Use</vt:lpwstr>
  </property>
  <property fmtid="{D5CDD505-2E9C-101B-9397-08002B2CF9AE}" pid="6" name="MSIP_Label_1b1dc3c0-e428-4cb7-9c8f-13a9c235d836_SiteId">
    <vt:lpwstr>74aa6f55-189c-4f4a-a113-f395443e107c</vt:lpwstr>
  </property>
  <property fmtid="{D5CDD505-2E9C-101B-9397-08002B2CF9AE}" pid="7" name="MSIP_Label_1b1dc3c0-e428-4cb7-9c8f-13a9c235d836_ActionId">
    <vt:lpwstr>a970f477-56c9-46d2-a774-a0035be1d89a</vt:lpwstr>
  </property>
  <property fmtid="{D5CDD505-2E9C-101B-9397-08002B2CF9AE}" pid="8" name="MSIP_Label_1b1dc3c0-e428-4cb7-9c8f-13a9c235d836_Provider">
    <vt:lpwstr>Varonis.Labeling</vt:lpwstr>
  </property>
  <property fmtid="{D5CDD505-2E9C-101B-9397-08002B2CF9AE}" pid="9" name="MSIP_Label_1b1dc3c0-e428-4cb7-9c8f-13a9c235d836_ContentBits">
    <vt:lpwstr>0</vt:lpwstr>
  </property>
</Properties>
</file>